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E37E6" w14:textId="119F39F2" w:rsidR="00795B61" w:rsidRPr="00E06D1A" w:rsidRDefault="002536BB" w:rsidP="000055C0">
      <w:pPr>
        <w:pStyle w:val="Kop1BRA"/>
        <w:rPr>
          <w:lang w:val="nl-NL"/>
        </w:rPr>
      </w:pPr>
      <w:r w:rsidRPr="00E06D1A">
        <w:rPr>
          <w:lang w:val="nl-NL"/>
        </w:rPr>
        <w:t>Memo</w:t>
      </w:r>
    </w:p>
    <w:p w14:paraId="58261124" w14:textId="77777777" w:rsidR="00803FFD" w:rsidRDefault="00803FFD" w:rsidP="00795B61">
      <w:pPr>
        <w:tabs>
          <w:tab w:val="left" w:pos="7938"/>
        </w:tabs>
        <w:ind w:right="-428"/>
        <w:jc w:val="both"/>
        <w:rPr>
          <w:b/>
          <w:sz w:val="24"/>
        </w:rPr>
      </w:pPr>
    </w:p>
    <w:p w14:paraId="29D035DE" w14:textId="22022BB7" w:rsidR="00803FFD" w:rsidRPr="00803FFD" w:rsidRDefault="00803FFD" w:rsidP="00803FFD">
      <w:pPr>
        <w:tabs>
          <w:tab w:val="left" w:pos="7938"/>
        </w:tabs>
        <w:ind w:right="-428"/>
        <w:jc w:val="both"/>
        <w:rPr>
          <w:b/>
          <w:szCs w:val="20"/>
        </w:rPr>
      </w:pPr>
      <w:r w:rsidRPr="00803FFD">
        <w:rPr>
          <w:b/>
          <w:szCs w:val="20"/>
        </w:rPr>
        <w:t>Datum:</w:t>
      </w:r>
      <w:r w:rsidR="00952E62">
        <w:rPr>
          <w:b/>
          <w:szCs w:val="20"/>
        </w:rPr>
        <w:t xml:space="preserve"> </w:t>
      </w:r>
      <w:r w:rsidR="002B05B1">
        <w:rPr>
          <w:b/>
          <w:szCs w:val="20"/>
        </w:rPr>
        <w:t>25</w:t>
      </w:r>
      <w:r w:rsidR="008163E5">
        <w:rPr>
          <w:b/>
          <w:szCs w:val="20"/>
        </w:rPr>
        <w:t xml:space="preserve"> augustus 2026</w:t>
      </w:r>
    </w:p>
    <w:p w14:paraId="1D43578F" w14:textId="730134F6" w:rsidR="00795B61" w:rsidRPr="00D338F9" w:rsidRDefault="00803FFD" w:rsidP="00795B61">
      <w:pPr>
        <w:tabs>
          <w:tab w:val="left" w:pos="7938"/>
        </w:tabs>
        <w:ind w:right="-428"/>
        <w:jc w:val="both"/>
        <w:rPr>
          <w:b/>
          <w:szCs w:val="20"/>
        </w:rPr>
      </w:pPr>
      <w:r w:rsidRPr="00803FFD">
        <w:rPr>
          <w:b/>
          <w:szCs w:val="20"/>
        </w:rPr>
        <w:t>Onderwerp:</w:t>
      </w:r>
      <w:r w:rsidR="00952E62">
        <w:rPr>
          <w:b/>
          <w:szCs w:val="20"/>
        </w:rPr>
        <w:t xml:space="preserve"> </w:t>
      </w:r>
      <w:r w:rsidR="007644B6">
        <w:rPr>
          <w:b/>
          <w:szCs w:val="20"/>
        </w:rPr>
        <w:t>Inventarisatie Randvoorwaarden en Knelpunten voor Woondeal Regio Amersfoort 2027-2036</w:t>
      </w:r>
    </w:p>
    <w:p w14:paraId="1E659CEF" w14:textId="1E1CF593" w:rsidR="00795B61" w:rsidRPr="006A13A6" w:rsidRDefault="00795B61" w:rsidP="00795B61">
      <w:pPr>
        <w:pBdr>
          <w:bottom w:val="single" w:sz="4" w:space="1" w:color="auto"/>
        </w:pBdr>
        <w:tabs>
          <w:tab w:val="left" w:pos="-1440"/>
          <w:tab w:val="left" w:pos="-720"/>
        </w:tabs>
        <w:jc w:val="both"/>
      </w:pPr>
    </w:p>
    <w:p w14:paraId="359F35A9" w14:textId="77777777" w:rsidR="008F2ACB" w:rsidRDefault="008F2ACB" w:rsidP="0071545E"/>
    <w:p w14:paraId="2D8EF7C5" w14:textId="13BE88C7" w:rsidR="007F7414" w:rsidRDefault="007644B6" w:rsidP="000E659F">
      <w:pPr>
        <w:pStyle w:val="Kop1BRA"/>
        <w:numPr>
          <w:ilvl w:val="0"/>
          <w:numId w:val="25"/>
        </w:numPr>
      </w:pPr>
      <w:r>
        <w:t>Inleiding</w:t>
      </w:r>
    </w:p>
    <w:p w14:paraId="42BA5BE6" w14:textId="4C15361E" w:rsidR="008D2722" w:rsidRDefault="008D2722" w:rsidP="008D2722">
      <w:pPr>
        <w:jc w:val="both"/>
      </w:pPr>
      <w:r>
        <w:t>In de Woondeal Regio Amersfoort 2027-2036 maken Rijksoverheid,</w:t>
      </w:r>
      <w:r w:rsidR="00DD4BAB">
        <w:t xml:space="preserve"> Provincie Utrecht en de </w:t>
      </w:r>
      <w:r w:rsidR="007A7A16">
        <w:t>zeven</w:t>
      </w:r>
      <w:r w:rsidR="00DD4BAB">
        <w:t xml:space="preserve"> </w:t>
      </w:r>
      <w:r w:rsidR="009100CF">
        <w:t>regiogemeenten</w:t>
      </w:r>
      <w:r w:rsidR="00DD4BAB">
        <w:t xml:space="preserve"> Amersfoort, Baarn, </w:t>
      </w:r>
      <w:r w:rsidR="00BE18A1">
        <w:t>Bunschoten, Eemnes, Leusden, Soest en Woudenberg</w:t>
      </w:r>
      <w:r w:rsidR="00FF4CB3">
        <w:t xml:space="preserve"> samenwerkingsafspraken om de gezamenlijke woningbouwambitie te realiseren. </w:t>
      </w:r>
      <w:r w:rsidR="00A04A62">
        <w:t xml:space="preserve">De overig twee gemeenten die samenwerken in de regio Amersfoort, Nijkerk en Barneveld, maken hierover  afspraken via de Woondeal Food Valley.  Of de </w:t>
      </w:r>
      <w:r w:rsidR="00FF4CB3">
        <w:t>woningcorporaties (</w:t>
      </w:r>
      <w:r w:rsidR="00A04A62">
        <w:t xml:space="preserve">verenigd in </w:t>
      </w:r>
      <w:r w:rsidR="00FF4CB3">
        <w:t>SWEV)</w:t>
      </w:r>
      <w:r w:rsidR="00A81918">
        <w:t xml:space="preserve"> net als in 2023 partij bij de herijkte Woondeal zijn, zal afhangen van de inhoudelijk afspraken, m.n. nationale afspraken over de investeringscapaciteit en het duurzame prestatiemodel van corporaties. </w:t>
      </w:r>
    </w:p>
    <w:p w14:paraId="6B1F6ADF" w14:textId="77777777" w:rsidR="00845ABA" w:rsidRDefault="00845ABA" w:rsidP="008D2722">
      <w:pPr>
        <w:jc w:val="both"/>
      </w:pPr>
    </w:p>
    <w:p w14:paraId="3D425C75" w14:textId="591E7193" w:rsidR="00845ABA" w:rsidRDefault="00845ABA" w:rsidP="008D2722">
      <w:pPr>
        <w:jc w:val="both"/>
      </w:pPr>
      <w:r>
        <w:t>Bestuurlijk is afgestemd dat d</w:t>
      </w:r>
      <w:r w:rsidRPr="00845ABA">
        <w:t>e woondeals focussen op het versnellen van de woningbouw en het gezamenlijk oplossen van de randvoorwaarden die daaraan bijdragen</w:t>
      </w:r>
      <w:r w:rsidR="00120AE7">
        <w:t>.</w:t>
      </w:r>
      <w:r w:rsidR="00120AE7">
        <w:rPr>
          <w:rStyle w:val="Voetnootmarkering"/>
        </w:rPr>
        <w:footnoteReference w:id="1"/>
      </w:r>
      <w:r w:rsidR="00F7392F">
        <w:t xml:space="preserve"> </w:t>
      </w:r>
    </w:p>
    <w:p w14:paraId="684AB3E4" w14:textId="77777777" w:rsidR="007D59A9" w:rsidRDefault="007D59A9" w:rsidP="008D2722">
      <w:pPr>
        <w:jc w:val="both"/>
      </w:pPr>
    </w:p>
    <w:p w14:paraId="0C2A6A97" w14:textId="464B8596" w:rsidR="007D59A9" w:rsidRDefault="007D59A9" w:rsidP="008D2722">
      <w:pPr>
        <w:jc w:val="both"/>
      </w:pPr>
      <w:r>
        <w:t>In deze memo wordt een voorstel gedaan voor:</w:t>
      </w:r>
    </w:p>
    <w:p w14:paraId="63EBF3A7" w14:textId="21FE3C2A" w:rsidR="007D59A9" w:rsidRDefault="007D59A9" w:rsidP="00110C57">
      <w:pPr>
        <w:pStyle w:val="Lijstalinea"/>
        <w:numPr>
          <w:ilvl w:val="0"/>
          <w:numId w:val="22"/>
        </w:numPr>
        <w:jc w:val="both"/>
      </w:pPr>
      <w:r>
        <w:t xml:space="preserve">Randvoorwaarden </w:t>
      </w:r>
    </w:p>
    <w:p w14:paraId="6A811665" w14:textId="6D5E7000" w:rsidR="007D59A9" w:rsidRDefault="007D59A9" w:rsidP="00110C57">
      <w:pPr>
        <w:pStyle w:val="Lijstalinea"/>
        <w:numPr>
          <w:ilvl w:val="0"/>
          <w:numId w:val="22"/>
        </w:numPr>
        <w:jc w:val="both"/>
      </w:pPr>
      <w:r>
        <w:t>Knelpunten</w:t>
      </w:r>
    </w:p>
    <w:p w14:paraId="00791C8C" w14:textId="70E5FA84" w:rsidR="007D59A9" w:rsidRDefault="007D59A9" w:rsidP="00110C57">
      <w:pPr>
        <w:pStyle w:val="Lijstalinea"/>
        <w:numPr>
          <w:ilvl w:val="0"/>
          <w:numId w:val="22"/>
        </w:numPr>
        <w:jc w:val="both"/>
      </w:pPr>
      <w:r>
        <w:t xml:space="preserve">Vervolgstappen </w:t>
      </w:r>
      <w:r w:rsidR="00252C3F">
        <w:t>richting Woondeal Regio Amersfoort 2027-2036</w:t>
      </w:r>
    </w:p>
    <w:p w14:paraId="47788628" w14:textId="77777777" w:rsidR="00252C3F" w:rsidRDefault="00252C3F" w:rsidP="00252C3F">
      <w:pPr>
        <w:jc w:val="both"/>
      </w:pPr>
    </w:p>
    <w:p w14:paraId="469D4F64" w14:textId="597E9AFD" w:rsidR="00B25E39" w:rsidRDefault="00B25E39" w:rsidP="000E659F">
      <w:pPr>
        <w:pStyle w:val="Kop1BRA"/>
        <w:numPr>
          <w:ilvl w:val="0"/>
          <w:numId w:val="25"/>
        </w:numPr>
        <w:rPr>
          <w:lang w:val="nl-NL"/>
        </w:rPr>
      </w:pPr>
      <w:r>
        <w:rPr>
          <w:lang w:val="nl-NL"/>
        </w:rPr>
        <w:t>Relatie met plan van aanpak</w:t>
      </w:r>
    </w:p>
    <w:p w14:paraId="27048486" w14:textId="7D5230D5" w:rsidR="00B25E39" w:rsidRDefault="00B25E39" w:rsidP="00B25E39">
      <w:r>
        <w:t xml:space="preserve">De Woondeal Regio Amersfoort 2027-2036 wordt in het najaar van 2026 opgesteld. </w:t>
      </w:r>
      <w:r w:rsidR="000E0504">
        <w:t>De Woondeal bestaat uit een generiek deel en een regionaal deel. In het regionale deel worden afspraken gemaakt over knelpunten en randvoorwaarden. Deze afspraken vormen samen het hoofdstuk Samenwerkingsagenda. Voor het regionale deel is een Plan van Aanpak opgesteld</w:t>
      </w:r>
      <w:r w:rsidR="002F6F79">
        <w:t xml:space="preserve"> om tot wederkerige afspraken te komen. </w:t>
      </w:r>
    </w:p>
    <w:p w14:paraId="3C4D543D" w14:textId="77777777" w:rsidR="002F6F79" w:rsidRDefault="002F6F79" w:rsidP="00B25E39"/>
    <w:p w14:paraId="3559FB3F" w14:textId="4BDC5D2B" w:rsidR="002F6F79" w:rsidRDefault="002F6F79" w:rsidP="00B25E39">
      <w:r>
        <w:t>Dit memo is onderdeel van de stap 1 Inventarisatie Randvoorwaarden en Knelpunten en voorbereiding op stap 2 Ambtelijk Gesprek over Randvoorwaarden en Knelpunten. Een latere versie van dit memo wordt geagendeerd voor het</w:t>
      </w:r>
      <w:r w:rsidR="00A81918">
        <w:t xml:space="preserve"> Bestuurlijk Trekkersoverleg Woondeal (BTO)</w:t>
      </w:r>
      <w:r>
        <w:t xml:space="preserve"> </w:t>
      </w:r>
      <w:r w:rsidR="00A81918">
        <w:t xml:space="preserve">en het </w:t>
      </w:r>
      <w:r>
        <w:t>BO Wonen en is daarmee onderdeel van stap 3.</w:t>
      </w:r>
      <w:r w:rsidR="00FA3355">
        <w:t xml:space="preserve"> Voor een beschrijving van deze stappen en de onderlinge samenhang, en planning in de tijd wordt verwezen naar het Plan van Aanpak </w:t>
      </w:r>
      <w:r w:rsidR="0038396B">
        <w:t xml:space="preserve">en de daarbij horende planning. </w:t>
      </w:r>
    </w:p>
    <w:p w14:paraId="028A6151" w14:textId="77777777" w:rsidR="0038396B" w:rsidRDefault="0038396B" w:rsidP="00533FDE"/>
    <w:p w14:paraId="7CBB0D28" w14:textId="3D7F3AFF" w:rsidR="00E828F6" w:rsidRPr="009056AA" w:rsidRDefault="007D4FF4" w:rsidP="009056AA">
      <w:pPr>
        <w:pStyle w:val="Kop1BRA"/>
        <w:numPr>
          <w:ilvl w:val="0"/>
          <w:numId w:val="25"/>
        </w:numPr>
        <w:rPr>
          <w:lang w:val="nl-NL"/>
        </w:rPr>
      </w:pPr>
      <w:r w:rsidRPr="009056AA">
        <w:rPr>
          <w:rStyle w:val="Kop2BRAChar"/>
          <w:b/>
          <w:bCs/>
          <w:color w:val="auto"/>
          <w:lang w:val="nl-NL"/>
        </w:rPr>
        <w:t>Randvoorwaardelijk</w:t>
      </w:r>
      <w:r w:rsidR="009056AA">
        <w:rPr>
          <w:rStyle w:val="Kop2BRAChar"/>
          <w:b/>
          <w:bCs/>
          <w:color w:val="auto"/>
          <w:lang w:val="nl-NL"/>
        </w:rPr>
        <w:t>e</w:t>
      </w:r>
      <w:r w:rsidRPr="009056AA">
        <w:rPr>
          <w:rStyle w:val="Kop2BRAChar"/>
          <w:b/>
          <w:bCs/>
          <w:color w:val="auto"/>
          <w:lang w:val="nl-NL"/>
        </w:rPr>
        <w:t xml:space="preserve"> condities voor het realiseren van de woningbouwambitie</w:t>
      </w:r>
      <w:r w:rsidRPr="009056AA" w:rsidDel="007D4FF4">
        <w:rPr>
          <w:lang w:val="nl-NL"/>
        </w:rPr>
        <w:t xml:space="preserve"> </w:t>
      </w:r>
    </w:p>
    <w:p w14:paraId="20BE682D" w14:textId="782D51D3" w:rsidR="00171D08" w:rsidRDefault="00AD5A30" w:rsidP="00E828F6">
      <w:pPr>
        <w:jc w:val="both"/>
      </w:pPr>
      <w:r>
        <w:t xml:space="preserve">In de Woondeal Regio Amersfoort 2027-2036 is ruimte om afspraken te maken over randvoorwaarden en knelpunten. Net zoals in de Woondeal Regio Amersfoort 2022-2030 worden randvoorwaarden gezien als </w:t>
      </w:r>
      <w:r w:rsidRPr="00E4149E">
        <w:t xml:space="preserve">randvoorwaardelijk condities </w:t>
      </w:r>
      <w:r>
        <w:t>voor het realiseren van de woningbouwambitie. Als randvoorwaarden niet op orde zijn, dan leidt dit tot knelpunten voor woningbouwprojecten</w:t>
      </w:r>
      <w:r w:rsidR="00A81918">
        <w:t xml:space="preserve"> c.q. maakt dit de opgave niet - volledig - haalbaar</w:t>
      </w:r>
      <w:r>
        <w:t xml:space="preserve">. In de Woondeal maken we afspraken om deze knelpunten gezamenlijk aan te pakken. </w:t>
      </w:r>
    </w:p>
    <w:p w14:paraId="48C15084" w14:textId="77777777" w:rsidR="00171D08" w:rsidRDefault="00171D08" w:rsidP="00171D08">
      <w:pPr>
        <w:jc w:val="both"/>
      </w:pPr>
    </w:p>
    <w:p w14:paraId="498D732C" w14:textId="05C80464" w:rsidR="00171D08" w:rsidRDefault="00905EEF" w:rsidP="00171D08">
      <w:pPr>
        <w:jc w:val="both"/>
      </w:pPr>
      <w:r>
        <w:t>Bij randvoorwaarden kan gedacht worden aan:</w:t>
      </w:r>
    </w:p>
    <w:p w14:paraId="5531E413" w14:textId="5C23A00C" w:rsidR="00254559" w:rsidRDefault="00905EEF" w:rsidP="00905EEF">
      <w:pPr>
        <w:pStyle w:val="Lijstalinea"/>
        <w:numPr>
          <w:ilvl w:val="3"/>
          <w:numId w:val="26"/>
        </w:numPr>
        <w:ind w:left="709"/>
      </w:pPr>
      <w:r>
        <w:t>Ruimtelijke ontwikkelingen zoals mobiliteit, ruimtelijke</w:t>
      </w:r>
      <w:r w:rsidR="00254559">
        <w:t xml:space="preserve"> economie, </w:t>
      </w:r>
      <w:r w:rsidR="00113F53">
        <w:t>energie opwek</w:t>
      </w:r>
      <w:r w:rsidR="00254559">
        <w:t xml:space="preserve">, groene en gezonde leefomgeving en natuur </w:t>
      </w:r>
    </w:p>
    <w:p w14:paraId="40453440" w14:textId="0E4A968C" w:rsidR="0096775D" w:rsidRDefault="00D257DF" w:rsidP="00905EEF">
      <w:pPr>
        <w:pStyle w:val="Lijstalinea"/>
        <w:numPr>
          <w:ilvl w:val="3"/>
          <w:numId w:val="26"/>
        </w:numPr>
        <w:ind w:left="709"/>
      </w:pPr>
      <w:r>
        <w:t>Aansluiting op het elektriciteits- en waternet</w:t>
      </w:r>
    </w:p>
    <w:p w14:paraId="157E3B3C" w14:textId="77777777" w:rsidR="0079004C" w:rsidRDefault="0079004C" w:rsidP="0079004C">
      <w:pPr>
        <w:pStyle w:val="Lijstalinea"/>
        <w:numPr>
          <w:ilvl w:val="3"/>
          <w:numId w:val="26"/>
        </w:numPr>
        <w:ind w:left="709"/>
      </w:pPr>
      <w:r>
        <w:t xml:space="preserve">Huidige en toekomstige regelgeving zoals voor stikstof, ecologie en duurzaamheid </w:t>
      </w:r>
    </w:p>
    <w:p w14:paraId="175972BA" w14:textId="251DBA70" w:rsidR="00905EEF" w:rsidRDefault="00957368" w:rsidP="0079004C">
      <w:pPr>
        <w:pStyle w:val="Lijstalinea"/>
        <w:numPr>
          <w:ilvl w:val="3"/>
          <w:numId w:val="26"/>
        </w:numPr>
        <w:ind w:left="709"/>
      </w:pPr>
      <w:r>
        <w:t>Efficiënte</w:t>
      </w:r>
      <w:r w:rsidR="0079004C">
        <w:t xml:space="preserve"> </w:t>
      </w:r>
      <w:r>
        <w:t xml:space="preserve">en succesvolle gebiedsontwikkeling </w:t>
      </w:r>
      <w:r w:rsidR="00102EEF">
        <w:t>door voldoende (ambtelijke) capaciteit</w:t>
      </w:r>
    </w:p>
    <w:p w14:paraId="67D1A004" w14:textId="508DA2C2" w:rsidR="001663C2" w:rsidRDefault="00102EEF" w:rsidP="00905EEF">
      <w:pPr>
        <w:pStyle w:val="Lijstalinea"/>
        <w:numPr>
          <w:ilvl w:val="3"/>
          <w:numId w:val="26"/>
        </w:numPr>
        <w:ind w:left="709"/>
      </w:pPr>
      <w:r>
        <w:t xml:space="preserve">Voldoende investeringscapaciteit, o.a. ook </w:t>
      </w:r>
      <w:r w:rsidR="001663C2">
        <w:t>financiering voor onrendabele toppen</w:t>
      </w:r>
      <w:r w:rsidR="00A81918">
        <w:t xml:space="preserve"> en voldoende investeringscapaciteit van woningbouwcorporaties</w:t>
      </w:r>
    </w:p>
    <w:p w14:paraId="2FDD4722" w14:textId="4ACA8A0E" w:rsidR="00171D08" w:rsidRPr="009056AA" w:rsidRDefault="001663C2" w:rsidP="00533FDE">
      <w:pPr>
        <w:pStyle w:val="Lijstalinea"/>
        <w:numPr>
          <w:ilvl w:val="3"/>
          <w:numId w:val="26"/>
        </w:numPr>
        <w:ind w:left="709"/>
      </w:pPr>
      <w:r>
        <w:t>Efficiënte en succesvolle s</w:t>
      </w:r>
      <w:r w:rsidR="00905EEF">
        <w:t>amenwerking tussen Rijksoverheid, Provincie, Gemeenten, Corporaties, Projectontwikkelaars</w:t>
      </w:r>
    </w:p>
    <w:p w14:paraId="48D2B052" w14:textId="77777777" w:rsidR="00120D50" w:rsidRDefault="00120D50" w:rsidP="00120D50">
      <w:pPr>
        <w:jc w:val="both"/>
      </w:pPr>
    </w:p>
    <w:p w14:paraId="6E38B79C" w14:textId="44674035" w:rsidR="008A43AE" w:rsidRPr="000E659F" w:rsidRDefault="008A43AE" w:rsidP="000E659F">
      <w:pPr>
        <w:pStyle w:val="Kop1BRA"/>
        <w:numPr>
          <w:ilvl w:val="0"/>
          <w:numId w:val="25"/>
        </w:numPr>
        <w:rPr>
          <w:lang w:val="nl-NL"/>
        </w:rPr>
      </w:pPr>
      <w:r w:rsidRPr="000E659F">
        <w:rPr>
          <w:lang w:val="nl-NL"/>
        </w:rPr>
        <w:t>Inventarisatie knelpunten voor het behalen van de woningbouwambitie en het versnellen van de woningbouw</w:t>
      </w:r>
    </w:p>
    <w:p w14:paraId="10E8CD44" w14:textId="22B4B841" w:rsidR="008A43AE" w:rsidRDefault="008A43AE" w:rsidP="008A43AE">
      <w:pPr>
        <w:jc w:val="both"/>
      </w:pPr>
      <w:r w:rsidRPr="001B0368">
        <w:t>Als randvoorwaarden niet op orde zijn leidt dit tot knelpunten voor woningbouwprojecten. De uitvoering van de Woondeal is erop gericht deze knelpunten gezamenlijk aan te pakken.</w:t>
      </w:r>
      <w:r w:rsidR="00444D41">
        <w:t xml:space="preserve"> Over alle – voor de woningbouw noodzakelijke randvoorwaarden worden afspraken gemaakt.</w:t>
      </w:r>
      <w:r w:rsidRPr="001B0368">
        <w:t xml:space="preserve"> </w:t>
      </w:r>
      <w:commentRangeStart w:id="0"/>
      <w:r w:rsidRPr="001B0368">
        <w:rPr>
          <w:rStyle w:val="Voetnootmarkering"/>
        </w:rPr>
        <w:footnoteReference w:id="2"/>
      </w:r>
      <w:commentRangeEnd w:id="0"/>
      <w:r w:rsidR="008E3EFF">
        <w:rPr>
          <w:rStyle w:val="Verwijzingopmerking"/>
          <w:sz w:val="20"/>
          <w:szCs w:val="24"/>
        </w:rPr>
        <w:commentReference w:id="0"/>
      </w:r>
    </w:p>
    <w:p w14:paraId="61F500BB" w14:textId="77777777" w:rsidR="007C1EC4" w:rsidRDefault="007C1EC4" w:rsidP="008A43AE">
      <w:pPr>
        <w:jc w:val="both"/>
      </w:pPr>
    </w:p>
    <w:tbl>
      <w:tblPr>
        <w:tblStyle w:val="Tabelraster"/>
        <w:tblW w:w="0" w:type="auto"/>
        <w:tblLook w:val="04A0" w:firstRow="1" w:lastRow="0" w:firstColumn="1" w:lastColumn="0" w:noHBand="0" w:noVBand="1"/>
      </w:tblPr>
      <w:tblGrid>
        <w:gridCol w:w="3780"/>
        <w:gridCol w:w="5280"/>
      </w:tblGrid>
      <w:tr w:rsidR="007C1EC4" w14:paraId="6113124E" w14:textId="77777777" w:rsidTr="003F2AC2">
        <w:tc>
          <w:tcPr>
            <w:tcW w:w="3780" w:type="dxa"/>
          </w:tcPr>
          <w:p w14:paraId="6D8066CF" w14:textId="3EB45141" w:rsidR="007C1EC4" w:rsidRDefault="007C1EC4" w:rsidP="008A43AE">
            <w:pPr>
              <w:jc w:val="both"/>
            </w:pPr>
            <w:r>
              <w:t>Randvoorwaarde</w:t>
            </w:r>
          </w:p>
        </w:tc>
        <w:tc>
          <w:tcPr>
            <w:tcW w:w="5280" w:type="dxa"/>
          </w:tcPr>
          <w:p w14:paraId="71F50D7B" w14:textId="67563D12" w:rsidR="007C1EC4" w:rsidRDefault="007C1EC4" w:rsidP="008A43AE">
            <w:pPr>
              <w:jc w:val="both"/>
            </w:pPr>
            <w:r>
              <w:t>Knelpunt</w:t>
            </w:r>
          </w:p>
        </w:tc>
      </w:tr>
      <w:tr w:rsidR="003B4E97" w14:paraId="1BF957D4" w14:textId="77777777" w:rsidTr="003F2AC2">
        <w:tc>
          <w:tcPr>
            <w:tcW w:w="3780" w:type="dxa"/>
          </w:tcPr>
          <w:p w14:paraId="471AE6DE" w14:textId="7763C64D" w:rsidR="003B4E97" w:rsidRDefault="00382F4E" w:rsidP="008A43AE">
            <w:pPr>
              <w:jc w:val="both"/>
            </w:pPr>
            <w:r>
              <w:t>R</w:t>
            </w:r>
            <w:r w:rsidR="003A7E22">
              <w:t>uimtelijke ontwikkeling</w:t>
            </w:r>
            <w:r w:rsidR="0090607A">
              <w:t>: Mobiliteit</w:t>
            </w:r>
          </w:p>
        </w:tc>
        <w:tc>
          <w:tcPr>
            <w:tcW w:w="5280" w:type="dxa"/>
          </w:tcPr>
          <w:p w14:paraId="6E17A3F1" w14:textId="62AFEFEE" w:rsidR="003B4E97" w:rsidRDefault="0090607A" w:rsidP="008A43AE">
            <w:pPr>
              <w:jc w:val="both"/>
            </w:pPr>
            <w:r w:rsidRPr="0090607A">
              <w:t xml:space="preserve">De voorziene groei van het aantal inwoners en arbeidsplaatsen vraagt om forse investeringen in mobiliteit. Het gaat daarbij om zowel lokale </w:t>
            </w:r>
            <w:r w:rsidRPr="00533FDE">
              <w:rPr>
                <w:b/>
                <w:bCs/>
              </w:rPr>
              <w:t>mobiliteit</w:t>
            </w:r>
            <w:r w:rsidRPr="0090607A">
              <w:t xml:space="preserve"> als om regionale en bovenregionale mobiliteitsoplossingen: om tot realisatie van woningen te komen is aansluiting van een woongebied op de bestaande infrastructuur en openbaar vervoerssystemen essentieel.</w:t>
            </w:r>
            <w:r w:rsidR="00E04EFA">
              <w:rPr>
                <w:rStyle w:val="Voetnootmarkering"/>
              </w:rPr>
              <w:footnoteReference w:id="3"/>
            </w:r>
            <w:r w:rsidR="00A81918">
              <w:t xml:space="preserve"> In het bijzonder zijn afspraken over de aanpak van knooppunt Hoevelaken gewenst.</w:t>
            </w:r>
            <w:r w:rsidR="00823388">
              <w:rPr>
                <w:rStyle w:val="Voetnootmarkering"/>
              </w:rPr>
              <w:footnoteReference w:id="4"/>
            </w:r>
          </w:p>
        </w:tc>
      </w:tr>
      <w:tr w:rsidR="003B4E97" w14:paraId="0CFC67B0" w14:textId="77777777" w:rsidTr="003F2AC2">
        <w:tc>
          <w:tcPr>
            <w:tcW w:w="3780" w:type="dxa"/>
          </w:tcPr>
          <w:p w14:paraId="6F84C43E" w14:textId="5C0AFA5E" w:rsidR="003B4E97" w:rsidRDefault="00205315" w:rsidP="008A43AE">
            <w:pPr>
              <w:jc w:val="both"/>
            </w:pPr>
            <w:r>
              <w:t>Voldoende investeringscapaciteit</w:t>
            </w:r>
          </w:p>
        </w:tc>
        <w:tc>
          <w:tcPr>
            <w:tcW w:w="5280" w:type="dxa"/>
          </w:tcPr>
          <w:p w14:paraId="536962B4" w14:textId="2346113A" w:rsidR="00A81918" w:rsidRDefault="00D034C4" w:rsidP="008A43AE">
            <w:pPr>
              <w:jc w:val="both"/>
            </w:pPr>
            <w:r w:rsidRPr="00D034C4">
              <w:t xml:space="preserve">De </w:t>
            </w:r>
            <w:r w:rsidRPr="00533FDE">
              <w:rPr>
                <w:b/>
                <w:bCs/>
              </w:rPr>
              <w:t>onrendabele toppen</w:t>
            </w:r>
            <w:r w:rsidRPr="00D034C4">
              <w:t xml:space="preserve"> van woningbouwprojecten zijn onder te verdelen in publieke tekorten (een negatief resultaat voor de overheid) en onrendabele toppen van woningcorporaties en private tekorten (een negatief resultaat voor marktpartijen)</w:t>
            </w:r>
            <w:r>
              <w:rPr>
                <w:rStyle w:val="Voetnootmarkering"/>
              </w:rPr>
              <w:footnoteReference w:id="5"/>
            </w:r>
            <w:r w:rsidR="00A81918">
              <w:t xml:space="preserve"> In het bijzonder zijn aanvullende afspraken met het Rijk </w:t>
            </w:r>
            <w:r w:rsidR="00444D41">
              <w:t xml:space="preserve">nodig </w:t>
            </w:r>
            <w:r w:rsidR="00A81918">
              <w:t>over</w:t>
            </w:r>
            <w:r w:rsidR="00444D41">
              <w:br/>
              <w:t xml:space="preserve">- </w:t>
            </w:r>
            <w:r w:rsidR="00A81918">
              <w:t xml:space="preserve">dekking van </w:t>
            </w:r>
            <w:r w:rsidR="00444D41">
              <w:t xml:space="preserve">de forse </w:t>
            </w:r>
            <w:r w:rsidR="00A81918">
              <w:t>tekorten en borging van investeringscapaciteit van corporaties op middellange termijn (</w:t>
            </w:r>
            <w:r w:rsidR="00120673">
              <w:t>duurzaam prestatiemodel). Dit laatste zal harde randvoorwaarde van corporaties zijn voor Woondeal-afspraken</w:t>
            </w:r>
            <w:r w:rsidR="00444D41">
              <w:br/>
              <w:t>- wetgeving om de financiële condities waaronder corporaties middenhuur kunnen realiseren</w:t>
            </w:r>
            <w:r w:rsidR="004A4371">
              <w:t xml:space="preserve"> vergelijkbaar te maken met sociale huur</w:t>
            </w:r>
            <w:r w:rsidR="00823388">
              <w:t>.</w:t>
            </w:r>
            <w:r w:rsidR="00823388">
              <w:rPr>
                <w:rStyle w:val="Voetnootmarkering"/>
              </w:rPr>
              <w:footnoteReference w:id="6"/>
            </w:r>
          </w:p>
        </w:tc>
      </w:tr>
      <w:tr w:rsidR="005005E1" w14:paraId="481143C8" w14:textId="77777777" w:rsidTr="003F2AC2">
        <w:tc>
          <w:tcPr>
            <w:tcW w:w="3780" w:type="dxa"/>
          </w:tcPr>
          <w:p w14:paraId="65DF343D" w14:textId="02A9C458" w:rsidR="005005E1" w:rsidRDefault="005005E1" w:rsidP="008A43AE">
            <w:pPr>
              <w:jc w:val="both"/>
            </w:pPr>
            <w:r>
              <w:lastRenderedPageBreak/>
              <w:t>Voldoende investeringscapaciteit</w:t>
            </w:r>
          </w:p>
        </w:tc>
        <w:tc>
          <w:tcPr>
            <w:tcW w:w="5280" w:type="dxa"/>
          </w:tcPr>
          <w:p w14:paraId="3EE3E692" w14:textId="1BB3CFC0" w:rsidR="005005E1" w:rsidRPr="00D034C4" w:rsidRDefault="00B84DD8" w:rsidP="008A43AE">
            <w:pPr>
              <w:jc w:val="both"/>
            </w:pPr>
            <w:r w:rsidRPr="00B84DD8">
              <w:t>Corporaties moeten in positie gebracht worden om haar sociale opgave waar te maken.</w:t>
            </w:r>
            <w:r>
              <w:rPr>
                <w:rStyle w:val="Voetnootmarkering"/>
              </w:rPr>
              <w:footnoteReference w:id="7"/>
            </w:r>
          </w:p>
        </w:tc>
      </w:tr>
      <w:tr w:rsidR="00671212" w14:paraId="12762E56" w14:textId="77777777" w:rsidTr="003F2AC2">
        <w:tc>
          <w:tcPr>
            <w:tcW w:w="3780" w:type="dxa"/>
          </w:tcPr>
          <w:p w14:paraId="0A37E1B4" w14:textId="77777777" w:rsidR="00D257DF" w:rsidRDefault="00D257DF" w:rsidP="00533FDE">
            <w:r>
              <w:t>Aansluiting op het elektriciteits- en waternet</w:t>
            </w:r>
          </w:p>
          <w:p w14:paraId="67017820" w14:textId="77777777" w:rsidR="00671212" w:rsidRDefault="00671212" w:rsidP="00533FDE"/>
        </w:tc>
        <w:tc>
          <w:tcPr>
            <w:tcW w:w="5280" w:type="dxa"/>
          </w:tcPr>
          <w:p w14:paraId="3E6A6374" w14:textId="79405C6E" w:rsidR="00671212" w:rsidRPr="000924FE" w:rsidRDefault="000924FE" w:rsidP="008A43AE">
            <w:pPr>
              <w:jc w:val="both"/>
            </w:pPr>
            <w:r w:rsidRPr="000924FE">
              <w:t>Het huidige stroomnetwerk loopt tegen zijn grenzen aan en het uitbreiden van de netcapaciteit kost tijd en raakt de woningbouw in de gehele provincie.</w:t>
            </w:r>
            <w:r>
              <w:t xml:space="preserve"> Hierdoor is inmiddels sprake van </w:t>
            </w:r>
            <w:r w:rsidRPr="00533FDE">
              <w:rPr>
                <w:b/>
                <w:bCs/>
              </w:rPr>
              <w:t>netcongestie</w:t>
            </w:r>
            <w:r>
              <w:rPr>
                <w:b/>
                <w:bCs/>
              </w:rPr>
              <w:t xml:space="preserve"> </w:t>
            </w:r>
            <w:r>
              <w:t>en kunnen nieuwe projecten niet zondermeer rekenen op een aansluiting op het stroomnet.</w:t>
            </w:r>
            <w:r w:rsidR="0037792C">
              <w:rPr>
                <w:rStyle w:val="Voetnootmarkering"/>
              </w:rPr>
              <w:footnoteReference w:id="8"/>
            </w:r>
            <w:r>
              <w:t xml:space="preserve"> </w:t>
            </w:r>
            <w:r w:rsidR="00120673">
              <w:t xml:space="preserve">Indien een norm voor netbewust bouwen wordt geïntroduceerd </w:t>
            </w:r>
            <w:r w:rsidR="00825CC0">
              <w:t xml:space="preserve">zijn afspraken over </w:t>
            </w:r>
            <w:r w:rsidR="00120673">
              <w:t xml:space="preserve">financiële compensatie voor de meerkosten </w:t>
            </w:r>
            <w:r w:rsidR="00444D41">
              <w:t>hiervan voor de woningbouw noodzakelijk</w:t>
            </w:r>
            <w:r w:rsidR="00825CC0">
              <w:t>.</w:t>
            </w:r>
            <w:r w:rsidR="0037792C">
              <w:rPr>
                <w:rStyle w:val="Voetnootmarkering"/>
              </w:rPr>
              <w:footnoteReference w:id="9"/>
            </w:r>
          </w:p>
        </w:tc>
      </w:tr>
      <w:tr w:rsidR="00671212" w14:paraId="5FCC55F2" w14:textId="77777777" w:rsidTr="003F2AC2">
        <w:tc>
          <w:tcPr>
            <w:tcW w:w="3780" w:type="dxa"/>
          </w:tcPr>
          <w:p w14:paraId="2D3FDBF4" w14:textId="05809EB0" w:rsidR="00671212" w:rsidRDefault="006667B0" w:rsidP="008A43AE">
            <w:pPr>
              <w:jc w:val="both"/>
            </w:pPr>
            <w:r>
              <w:t>Huidige en toekomstige regelgeving</w:t>
            </w:r>
            <w:r w:rsidR="00F74F4A">
              <w:t xml:space="preserve"> stikstof</w:t>
            </w:r>
          </w:p>
        </w:tc>
        <w:tc>
          <w:tcPr>
            <w:tcW w:w="5280" w:type="dxa"/>
          </w:tcPr>
          <w:p w14:paraId="68957C29" w14:textId="77777777" w:rsidR="00671212" w:rsidRDefault="00382F4E" w:rsidP="008A43AE">
            <w:pPr>
              <w:jc w:val="both"/>
            </w:pPr>
            <w:r w:rsidRPr="00382F4E">
              <w:t>De Nederlandse stikstofregels zijn bedoeld om de natuur in ons land in stand te houden maar vormen ook een beperkende factor voor de woningbouw.</w:t>
            </w:r>
            <w:r>
              <w:rPr>
                <w:rStyle w:val="Voetnootmarkering"/>
              </w:rPr>
              <w:footnoteReference w:id="10"/>
            </w:r>
          </w:p>
          <w:p w14:paraId="56BB9A7E" w14:textId="77777777" w:rsidR="00D257DF" w:rsidRDefault="00D257DF" w:rsidP="008A43AE">
            <w:pPr>
              <w:jc w:val="both"/>
            </w:pPr>
          </w:p>
          <w:p w14:paraId="05E5E69A" w14:textId="38FB703F" w:rsidR="00D257DF" w:rsidRDefault="00D257DF" w:rsidP="008A43AE">
            <w:pPr>
              <w:jc w:val="both"/>
            </w:pPr>
            <w:r>
              <w:t xml:space="preserve">De </w:t>
            </w:r>
            <w:r w:rsidRPr="008E3EFF">
              <w:t>stikstofregels zorgen ook voor beperkingen in de ui</w:t>
            </w:r>
            <w:r w:rsidR="00AD3FC7" w:rsidRPr="008E3EFF">
              <w:t>tbreiding van knooppunt Hoevelaken.</w:t>
            </w:r>
            <w:r w:rsidR="003F2AC2">
              <w:t xml:space="preserve"> </w:t>
            </w:r>
            <w:r w:rsidR="003F2AC2" w:rsidRPr="003F2AC2">
              <w:rPr>
                <w:i/>
                <w:iCs/>
              </w:rPr>
              <w:t>Wordt nog verder ingevuld.</w:t>
            </w:r>
          </w:p>
        </w:tc>
      </w:tr>
      <w:tr w:rsidR="00382F4E" w14:paraId="605FA7A8" w14:textId="77777777" w:rsidTr="003F2AC2">
        <w:tc>
          <w:tcPr>
            <w:tcW w:w="3780" w:type="dxa"/>
          </w:tcPr>
          <w:p w14:paraId="4CCD4EDD" w14:textId="14A25BE4" w:rsidR="00382F4E" w:rsidRDefault="00382F4E" w:rsidP="008A43AE">
            <w:pPr>
              <w:jc w:val="both"/>
            </w:pPr>
            <w:r w:rsidRPr="00382F4E">
              <w:t>Efficiënte en succesvolle gebiedsontwikkeling door voldoende (ambtelijke) capaciteit</w:t>
            </w:r>
          </w:p>
        </w:tc>
        <w:tc>
          <w:tcPr>
            <w:tcW w:w="5280" w:type="dxa"/>
          </w:tcPr>
          <w:p w14:paraId="7B5754DD" w14:textId="23369EA8" w:rsidR="00382F4E" w:rsidRPr="00382F4E" w:rsidRDefault="005C5BEA" w:rsidP="00533FDE">
            <w:pPr>
              <w:pStyle w:val="Lijstalinea"/>
              <w:ind w:left="41"/>
              <w:jc w:val="both"/>
            </w:pPr>
            <w:r w:rsidRPr="005C5BEA">
              <w:t xml:space="preserve">Een groeiend knelpunt bij woningbouw zit in de uitvoering: er is een kwantitatief en kwalitatief </w:t>
            </w:r>
            <w:r w:rsidRPr="00533FDE">
              <w:rPr>
                <w:b/>
                <w:bCs/>
              </w:rPr>
              <w:t>tekort aan ambtelijke capaciteit</w:t>
            </w:r>
            <w:r w:rsidRPr="005C5BEA">
              <w:t xml:space="preserve"> om woningbouwplannen tot ontwikkeling en uitvoering te brengen. Gemeenten komen handen tekort voor de planvorming, procesbegeleiding en vergunningverlening.</w:t>
            </w:r>
            <w:r>
              <w:rPr>
                <w:rStyle w:val="Voetnootmarkering"/>
              </w:rPr>
              <w:footnoteReference w:id="11"/>
            </w:r>
          </w:p>
        </w:tc>
      </w:tr>
      <w:tr w:rsidR="00046B43" w14:paraId="691C88B1" w14:textId="77777777" w:rsidTr="003F2AC2">
        <w:tc>
          <w:tcPr>
            <w:tcW w:w="3780" w:type="dxa"/>
          </w:tcPr>
          <w:p w14:paraId="1255710E" w14:textId="249408EB" w:rsidR="00046B43" w:rsidRPr="00382F4E" w:rsidRDefault="00A06D4F" w:rsidP="008A43AE">
            <w:pPr>
              <w:jc w:val="both"/>
            </w:pPr>
            <w:r>
              <w:t xml:space="preserve">Huidige en toekomstige regelgeving: </w:t>
            </w:r>
            <w:r w:rsidR="003D3AB5">
              <w:t>K</w:t>
            </w:r>
            <w:r w:rsidR="003D3AB5" w:rsidRPr="003D3AB5">
              <w:t>waliteitsafspraken voor de toekomstbestendige leefomgeving zoals groen, water, duurzaamheid, natuur</w:t>
            </w:r>
          </w:p>
        </w:tc>
        <w:tc>
          <w:tcPr>
            <w:tcW w:w="5280" w:type="dxa"/>
          </w:tcPr>
          <w:p w14:paraId="0CD4238D" w14:textId="313118C0" w:rsidR="0012319D" w:rsidRPr="0012319D" w:rsidRDefault="0012319D" w:rsidP="0012319D">
            <w:pPr>
              <w:pStyle w:val="Lijstalinea"/>
              <w:ind w:left="41"/>
              <w:jc w:val="both"/>
            </w:pPr>
            <w:r w:rsidRPr="0012319D">
              <w:t xml:space="preserve">Op kwaliteitsafspraken </w:t>
            </w:r>
            <w:r w:rsidR="00F74F4A">
              <w:t>ziet</w:t>
            </w:r>
            <w:r w:rsidR="00967790">
              <w:t xml:space="preserve"> de regio </w:t>
            </w:r>
            <w:r w:rsidRPr="0012319D">
              <w:t>een spanningsveld met de huidige gedachten vanuit het Rijk om geen bovenwettelijke eisen te stellen (</w:t>
            </w:r>
            <w:hyperlink r:id="rId15" w:history="1">
              <w:r w:rsidRPr="0012319D">
                <w:rPr>
                  <w:rStyle w:val="Hyperlink"/>
                </w:rPr>
                <w:t>file:///C:/Users/pulle004/Downloads/coalitieakkoord-d66-vvd-cda%20(1).pdf</w:t>
              </w:r>
            </w:hyperlink>
            <w:r w:rsidRPr="0012319D">
              <w:t>). Anderzijds komen er wel vanuit Europa milieueisen (</w:t>
            </w:r>
            <w:hyperlink r:id="rId16" w:history="1">
              <w:r w:rsidRPr="0012319D">
                <w:rPr>
                  <w:rStyle w:val="Hyperlink"/>
                </w:rPr>
                <w:t>https://eur-lex.europa.eu/legal-content/EN/TXT/?uri=CELEX:52020DC0562</w:t>
              </w:r>
            </w:hyperlink>
            <w:r w:rsidRPr="0012319D">
              <w:t>) en richtlijnen van energieprestaties (</w:t>
            </w:r>
            <w:hyperlink r:id="rId17" w:anchor="eisen-aan-gebouwen-vanaf-2027" w:history="1">
              <w:r w:rsidRPr="0012319D">
                <w:rPr>
                  <w:rStyle w:val="Hyperlink"/>
                </w:rPr>
                <w:t>https://www.rvo.nl/onderwerpen/wetten-en-regels-gebouwen/epbd-iv#eisen-aan-gebouwen-vanaf-2027</w:t>
              </w:r>
            </w:hyperlink>
            <w:r w:rsidRPr="0012319D">
              <w:t xml:space="preserve">) waar rekening mee gehouden moet worden. </w:t>
            </w:r>
            <w:r>
              <w:rPr>
                <w:rStyle w:val="Voetnootmarkering"/>
              </w:rPr>
              <w:footnoteReference w:id="12"/>
            </w:r>
            <w:r w:rsidR="00825CC0">
              <w:br/>
            </w:r>
            <w:r w:rsidR="00825CC0">
              <w:br/>
            </w:r>
            <w:r w:rsidR="00967790">
              <w:t xml:space="preserve">Voor de corporaties is stapeling van ambities </w:t>
            </w:r>
            <w:r w:rsidR="009836FF">
              <w:t xml:space="preserve">en overleg hierover </w:t>
            </w:r>
            <w:r w:rsidR="00967790">
              <w:t xml:space="preserve">een </w:t>
            </w:r>
            <w:r w:rsidR="009836FF">
              <w:t xml:space="preserve">zeer </w:t>
            </w:r>
            <w:r w:rsidR="00967790">
              <w:t>vertragende factor bij de realisatie van woningbouw en zijn de afspraken die hierover gemaakt zijn of worden op nationaal niveau leidend.</w:t>
            </w:r>
            <w:r w:rsidR="00125233">
              <w:rPr>
                <w:rStyle w:val="Voetnootmarkering"/>
              </w:rPr>
              <w:footnoteReference w:id="13"/>
            </w:r>
          </w:p>
          <w:p w14:paraId="72DED19E" w14:textId="77777777" w:rsidR="00046B43" w:rsidRPr="005C5BEA" w:rsidRDefault="00046B43" w:rsidP="005C5BEA">
            <w:pPr>
              <w:pStyle w:val="Lijstalinea"/>
              <w:ind w:left="41"/>
              <w:jc w:val="both"/>
            </w:pPr>
          </w:p>
        </w:tc>
      </w:tr>
      <w:tr w:rsidR="007C1EC4" w14:paraId="6F3B8A86" w14:textId="77777777" w:rsidTr="003F2AC2">
        <w:tc>
          <w:tcPr>
            <w:tcW w:w="3780" w:type="dxa"/>
          </w:tcPr>
          <w:p w14:paraId="33B22675" w14:textId="22D697B4" w:rsidR="007C1EC4" w:rsidRDefault="00B77172" w:rsidP="008A43AE">
            <w:pPr>
              <w:jc w:val="both"/>
            </w:pPr>
            <w:r>
              <w:t>Huidige en toekomstige regelgeving: K</w:t>
            </w:r>
            <w:r w:rsidRPr="003D3AB5">
              <w:t xml:space="preserve">waliteitsafspraken voor de </w:t>
            </w:r>
            <w:r w:rsidRPr="003D3AB5">
              <w:lastRenderedPageBreak/>
              <w:t>toekomstbestendige leefomgeving zoals groen, water, duurzaamheid, natuur</w:t>
            </w:r>
          </w:p>
        </w:tc>
        <w:tc>
          <w:tcPr>
            <w:tcW w:w="5280" w:type="dxa"/>
          </w:tcPr>
          <w:p w14:paraId="547A3477" w14:textId="61123FA4" w:rsidR="007C1EC4" w:rsidRDefault="002155FE" w:rsidP="00382F4E">
            <w:pPr>
              <w:jc w:val="both"/>
            </w:pPr>
            <w:r>
              <w:lastRenderedPageBreak/>
              <w:t xml:space="preserve">Knelpunten in compensatie groen bij woningbouw ontwikkeling in buitengebied, </w:t>
            </w:r>
            <w:r w:rsidR="00081159">
              <w:t>knelpunt in de ontwikkeling van stedelijk groen</w:t>
            </w:r>
            <w:r w:rsidR="008E3EFF">
              <w:t xml:space="preserve">, en groen in </w:t>
            </w:r>
            <w:r w:rsidR="008E3EFF">
              <w:lastRenderedPageBreak/>
              <w:t>planontwikkeling</w:t>
            </w:r>
            <w:r w:rsidR="00825CC0">
              <w:t xml:space="preserve"> m</w:t>
            </w:r>
            <w:r w:rsidR="004A4371">
              <w:t>et oog voor financiële haalbaarheid van woningoouw</w:t>
            </w:r>
          </w:p>
        </w:tc>
      </w:tr>
      <w:tr w:rsidR="007C1EC4" w14:paraId="251773D7" w14:textId="77777777" w:rsidTr="003F2AC2">
        <w:tc>
          <w:tcPr>
            <w:tcW w:w="3780" w:type="dxa"/>
          </w:tcPr>
          <w:p w14:paraId="5A3E39F4" w14:textId="567FA45C" w:rsidR="007C1EC4" w:rsidRDefault="004A4371" w:rsidP="008A43AE">
            <w:pPr>
              <w:jc w:val="both"/>
            </w:pPr>
            <w:r>
              <w:lastRenderedPageBreak/>
              <w:t>Verkorting van procedures</w:t>
            </w:r>
            <w:r w:rsidR="00F06A99">
              <w:t>, meer en sneller opharden van plannen</w:t>
            </w:r>
            <w:r w:rsidR="009836FF">
              <w:t xml:space="preserve"> en politiek en maatschappelijk draagvlak</w:t>
            </w:r>
          </w:p>
        </w:tc>
        <w:tc>
          <w:tcPr>
            <w:tcW w:w="5280" w:type="dxa"/>
          </w:tcPr>
          <w:p w14:paraId="20422879" w14:textId="685505D0" w:rsidR="007C1EC4" w:rsidRDefault="004A4371" w:rsidP="00382F4E">
            <w:pPr>
              <w:jc w:val="both"/>
            </w:pPr>
            <w:r>
              <w:t xml:space="preserve">Knelpunten </w:t>
            </w:r>
            <w:r w:rsidR="00967790">
              <w:t xml:space="preserve">door vertraging in de bouw en meerkosten ten gevolge van </w:t>
            </w:r>
            <w:r>
              <w:t>bezwaar- en beroepsprocedures</w:t>
            </w:r>
            <w:r w:rsidR="00967790">
              <w:t xml:space="preserve"> en </w:t>
            </w:r>
            <w:r>
              <w:t xml:space="preserve">de doorlooptijden van procedures </w:t>
            </w:r>
            <w:r w:rsidR="00967790">
              <w:t>(wettelijk en niet wettelijk) en ontbreken van integraliteit</w:t>
            </w:r>
            <w:r w:rsidR="00125233">
              <w:rPr>
                <w:rStyle w:val="Voetnootmarkering"/>
              </w:rPr>
              <w:footnoteReference w:id="14"/>
            </w:r>
            <w:r w:rsidR="009836FF">
              <w:br/>
            </w:r>
          </w:p>
        </w:tc>
      </w:tr>
      <w:tr w:rsidR="009836FF" w14:paraId="6E9AECA9" w14:textId="77777777" w:rsidTr="003F2AC2">
        <w:tc>
          <w:tcPr>
            <w:tcW w:w="3780" w:type="dxa"/>
          </w:tcPr>
          <w:p w14:paraId="11F9A27E" w14:textId="77777777" w:rsidR="009836FF" w:rsidRDefault="009836FF" w:rsidP="009836FF">
            <w:pPr>
              <w:jc w:val="both"/>
            </w:pPr>
          </w:p>
        </w:tc>
        <w:tc>
          <w:tcPr>
            <w:tcW w:w="5280" w:type="dxa"/>
          </w:tcPr>
          <w:p w14:paraId="30DB7818" w14:textId="2F9E2CCD" w:rsidR="009836FF" w:rsidRDefault="009836FF" w:rsidP="009836FF">
            <w:pPr>
              <w:jc w:val="both"/>
            </w:pPr>
            <w:r>
              <w:t xml:space="preserve">Zonder draagvlak geen woningbouw, dit vraagt balans tussen voortgang, doortastende besluitvorming en volwassen burgerparticipatie en rechtsbescherming </w:t>
            </w:r>
            <w:r w:rsidR="00125233">
              <w:rPr>
                <w:rStyle w:val="Voetnootmarkering"/>
              </w:rPr>
              <w:footnoteReference w:id="15"/>
            </w:r>
          </w:p>
        </w:tc>
      </w:tr>
      <w:tr w:rsidR="009836FF" w14:paraId="4DD77398" w14:textId="77777777" w:rsidTr="003F2AC2">
        <w:tc>
          <w:tcPr>
            <w:tcW w:w="3780" w:type="dxa"/>
          </w:tcPr>
          <w:p w14:paraId="46072A7F" w14:textId="438F4F6C" w:rsidR="009836FF" w:rsidRDefault="00D44D6A" w:rsidP="009836FF">
            <w:pPr>
              <w:jc w:val="both"/>
            </w:pPr>
            <w:r>
              <w:t xml:space="preserve">Ruimtelijke ontwikkelingen: </w:t>
            </w:r>
            <w:r w:rsidR="009836FF">
              <w:t xml:space="preserve">Voldoende </w:t>
            </w:r>
            <w:r w:rsidR="00125233">
              <w:t>instrumentarium</w:t>
            </w:r>
            <w:r w:rsidR="009836FF">
              <w:t xml:space="preserve"> voor grondbeleid en bouwlocaties tegen passende grondprijzen</w:t>
            </w:r>
          </w:p>
        </w:tc>
        <w:tc>
          <w:tcPr>
            <w:tcW w:w="5280" w:type="dxa"/>
          </w:tcPr>
          <w:p w14:paraId="1BF62ADF" w14:textId="77AB69D4" w:rsidR="009836FF" w:rsidRDefault="009836FF" w:rsidP="009836FF">
            <w:pPr>
              <w:jc w:val="both"/>
            </w:pPr>
            <w:r>
              <w:t>Het al dan niet beschikken over locaties is doorslaggevend voor het al dan niet behalen van de bouwopgave, zoals ook verwoord in vorige woondeal en Nationale prestatieafspraken</w:t>
            </w:r>
            <w:r w:rsidR="00125233">
              <w:rPr>
                <w:rStyle w:val="Voetnootmarkering"/>
              </w:rPr>
              <w:footnoteReference w:id="16"/>
            </w:r>
          </w:p>
        </w:tc>
      </w:tr>
      <w:tr w:rsidR="009836FF" w14:paraId="613F7365" w14:textId="77777777" w:rsidTr="003F2AC2">
        <w:tc>
          <w:tcPr>
            <w:tcW w:w="3780" w:type="dxa"/>
          </w:tcPr>
          <w:p w14:paraId="0FC3B655" w14:textId="5DE23C1D" w:rsidR="009836FF" w:rsidRDefault="009836FF" w:rsidP="009836FF">
            <w:pPr>
              <w:jc w:val="both"/>
            </w:pPr>
            <w:r>
              <w:t>Positionering van corporaties</w:t>
            </w:r>
          </w:p>
        </w:tc>
        <w:tc>
          <w:tcPr>
            <w:tcW w:w="5280" w:type="dxa"/>
          </w:tcPr>
          <w:p w14:paraId="62368955" w14:textId="4217BFD8" w:rsidR="009836FF" w:rsidRDefault="009836FF" w:rsidP="009836FF">
            <w:pPr>
              <w:jc w:val="both"/>
            </w:pPr>
            <w:r>
              <w:t xml:space="preserve">Realisatie van 30% sociale huur en een aandeel middenhuur door corporaties is niet mogelijk zonder \corporaties in positie te brengen. </w:t>
            </w:r>
            <w:r>
              <w:br/>
              <w:t xml:space="preserve">Dit geldt zowel door Rijk, provincie als gemeenten. Rijk: zie hierboven. Gemeenten: Hierbij bij gaat het o.a. om vroegtijdige betrokkenheid bij planvorming en actief benaderen van corporaties, actieve rol richting grondeigenaren en realistische programma’s van eisen van gemeenten. </w:t>
            </w:r>
            <w:r w:rsidR="00125233">
              <w:rPr>
                <w:rStyle w:val="Voetnootmarkering"/>
              </w:rPr>
              <w:footnoteReference w:id="17"/>
            </w:r>
          </w:p>
        </w:tc>
      </w:tr>
      <w:tr w:rsidR="009836FF" w14:paraId="06ECC646" w14:textId="77777777" w:rsidTr="003F2AC2">
        <w:tc>
          <w:tcPr>
            <w:tcW w:w="3780" w:type="dxa"/>
          </w:tcPr>
          <w:p w14:paraId="5A3ACAA6" w14:textId="1DE676BF" w:rsidR="009836FF" w:rsidRDefault="009836FF" w:rsidP="009836FF">
            <w:pPr>
              <w:jc w:val="both"/>
            </w:pPr>
          </w:p>
        </w:tc>
        <w:tc>
          <w:tcPr>
            <w:tcW w:w="5280" w:type="dxa"/>
          </w:tcPr>
          <w:p w14:paraId="1C7D1DCB" w14:textId="68EE7794" w:rsidR="009836FF" w:rsidRDefault="009836FF" w:rsidP="009836FF">
            <w:pPr>
              <w:jc w:val="both"/>
            </w:pPr>
          </w:p>
        </w:tc>
      </w:tr>
      <w:tr w:rsidR="009836FF" w14:paraId="59BDAE06" w14:textId="77777777" w:rsidTr="003F2AC2">
        <w:tc>
          <w:tcPr>
            <w:tcW w:w="3780" w:type="dxa"/>
          </w:tcPr>
          <w:p w14:paraId="447F1085" w14:textId="5F83433E" w:rsidR="009836FF" w:rsidRDefault="00125233" w:rsidP="009836FF">
            <w:pPr>
              <w:jc w:val="both"/>
            </w:pPr>
            <w:r>
              <w:t xml:space="preserve">Effectieve en succesvolle samenwerking: </w:t>
            </w:r>
            <w:r w:rsidR="009836FF">
              <w:t>Monitoring</w:t>
            </w:r>
          </w:p>
        </w:tc>
        <w:tc>
          <w:tcPr>
            <w:tcW w:w="5280" w:type="dxa"/>
          </w:tcPr>
          <w:p w14:paraId="59A994C8" w14:textId="360BF06D" w:rsidR="009836FF" w:rsidRDefault="009836FF" w:rsidP="009836FF">
            <w:pPr>
              <w:jc w:val="both"/>
            </w:pPr>
            <w:r>
              <w:t>Zonder monitoring is geen tijdige en effectieve bijsturing mogelijk om de bouwopgave te realiseren, laat staan te versnellen. Naast provinciale monitoring is het noodzakelijk dat Rijk op nationaal niveau in informatie over de betaalbaarheidscategorieën voorzie</w:t>
            </w:r>
            <w:r w:rsidR="00F06A99">
              <w:t>t in lijn met bestaande verantwoordingslijnen</w:t>
            </w:r>
            <w:r>
              <w:t xml:space="preserve">. </w:t>
            </w:r>
            <w:r w:rsidR="00125233">
              <w:rPr>
                <w:rStyle w:val="Voetnootmarkering"/>
              </w:rPr>
              <w:footnoteReference w:id="18"/>
            </w:r>
          </w:p>
        </w:tc>
      </w:tr>
      <w:tr w:rsidR="009836FF" w14:paraId="5891EC8E" w14:textId="77777777" w:rsidTr="003F2AC2">
        <w:tc>
          <w:tcPr>
            <w:tcW w:w="3780" w:type="dxa"/>
          </w:tcPr>
          <w:p w14:paraId="0B295C5D" w14:textId="77777777" w:rsidR="009836FF" w:rsidRDefault="009836FF" w:rsidP="009836FF">
            <w:pPr>
              <w:jc w:val="both"/>
            </w:pPr>
          </w:p>
        </w:tc>
        <w:tc>
          <w:tcPr>
            <w:tcW w:w="5280" w:type="dxa"/>
          </w:tcPr>
          <w:p w14:paraId="4CC910AF" w14:textId="77777777" w:rsidR="009836FF" w:rsidRDefault="009836FF" w:rsidP="009836FF">
            <w:pPr>
              <w:jc w:val="both"/>
            </w:pPr>
          </w:p>
        </w:tc>
      </w:tr>
      <w:tr w:rsidR="009836FF" w14:paraId="7CDE0877" w14:textId="77777777" w:rsidTr="003F2AC2">
        <w:tc>
          <w:tcPr>
            <w:tcW w:w="3780" w:type="dxa"/>
          </w:tcPr>
          <w:p w14:paraId="6F68D804" w14:textId="77777777" w:rsidR="009836FF" w:rsidRDefault="009836FF" w:rsidP="009836FF">
            <w:pPr>
              <w:jc w:val="both"/>
            </w:pPr>
          </w:p>
        </w:tc>
        <w:tc>
          <w:tcPr>
            <w:tcW w:w="5280" w:type="dxa"/>
          </w:tcPr>
          <w:p w14:paraId="24341388" w14:textId="77777777" w:rsidR="009836FF" w:rsidRDefault="009836FF" w:rsidP="009836FF">
            <w:pPr>
              <w:jc w:val="both"/>
            </w:pPr>
          </w:p>
        </w:tc>
      </w:tr>
    </w:tbl>
    <w:p w14:paraId="23781F78" w14:textId="68083516" w:rsidR="00825CC0" w:rsidRDefault="00825CC0" w:rsidP="008A43AE">
      <w:pPr>
        <w:jc w:val="both"/>
      </w:pPr>
      <w:r>
        <w:br/>
      </w:r>
      <w:r>
        <w:br/>
        <w:t>De woningbouwcorporaties maken bij bovenstaand overzicht van randvoorwaarden een voorbehoud dat er mogelijk aanvullingen of wijzigingen op komen na gedachtewisseling in SWEV-verband</w:t>
      </w:r>
      <w:r w:rsidR="004A4371">
        <w:t xml:space="preserve"> en om over meer randvoorwaarden afspraken te maken dan die genoemd zijn in de rapportages van provincie Utrecht en het IPO</w:t>
      </w:r>
      <w:r>
        <w:t>.</w:t>
      </w:r>
    </w:p>
    <w:p w14:paraId="06F5A346" w14:textId="77777777" w:rsidR="003F2AC2" w:rsidRDefault="003F2AC2" w:rsidP="008A43AE">
      <w:pPr>
        <w:jc w:val="both"/>
      </w:pPr>
    </w:p>
    <w:p w14:paraId="405C1712" w14:textId="52461190" w:rsidR="0074621A" w:rsidRPr="000E659F" w:rsidRDefault="0074621A" w:rsidP="000E659F">
      <w:pPr>
        <w:pStyle w:val="Kop1BRA"/>
        <w:numPr>
          <w:ilvl w:val="0"/>
          <w:numId w:val="25"/>
        </w:numPr>
        <w:rPr>
          <w:lang w:val="nl-NL"/>
        </w:rPr>
      </w:pPr>
      <w:r w:rsidRPr="000E659F">
        <w:rPr>
          <w:lang w:val="nl-NL"/>
        </w:rPr>
        <w:t>Vervolgstappen richting Woondeal Regio Amersfoort 2027-2036</w:t>
      </w:r>
    </w:p>
    <w:p w14:paraId="49F01E6B" w14:textId="087CDEC2" w:rsidR="00120D50" w:rsidRDefault="0074621A" w:rsidP="00120D50">
      <w:pPr>
        <w:jc w:val="both"/>
      </w:pPr>
      <w:r>
        <w:t>In de Woondeal Regio Amersfoort</w:t>
      </w:r>
      <w:r w:rsidR="00C8677E">
        <w:t xml:space="preserve"> 2027-2036 maken </w:t>
      </w:r>
      <w:r w:rsidR="00607C18">
        <w:t xml:space="preserve">de gemeenten in de Regio Amersfoort Rijksoverheid, Provincie Utrecht en eventueel SWEV afspraken over </w:t>
      </w:r>
      <w:r w:rsidR="000F2B4C">
        <w:t>het versnellen van de woningbouw</w:t>
      </w:r>
      <w:r w:rsidR="00120673">
        <w:t>, de wijze van samenwerking</w:t>
      </w:r>
      <w:r w:rsidR="000F2B4C">
        <w:t xml:space="preserve">en het oplossen van knelpunten. </w:t>
      </w:r>
      <w:r w:rsidR="00EA130E">
        <w:t>Daarbij is de bestuurlijke vraag om afspraken zo concreet mogelijk te maken.</w:t>
      </w:r>
    </w:p>
    <w:p w14:paraId="05C20F0A" w14:textId="05F3970B" w:rsidR="00EA130E" w:rsidRDefault="00EA130E" w:rsidP="00120D50">
      <w:pPr>
        <w:jc w:val="both"/>
      </w:pPr>
      <w:r>
        <w:t>Om tot afspraken te komen zijn twee routes mogelijk:</w:t>
      </w:r>
    </w:p>
    <w:p w14:paraId="3C7B954D" w14:textId="77777777" w:rsidR="00EA130E" w:rsidRDefault="00EA130E" w:rsidP="00120D50">
      <w:pPr>
        <w:jc w:val="both"/>
      </w:pPr>
    </w:p>
    <w:p w14:paraId="4AFC7ABE" w14:textId="77777777" w:rsidR="00AD6B46" w:rsidRDefault="002710E1" w:rsidP="00EA130E">
      <w:pPr>
        <w:pStyle w:val="Lijstalinea"/>
        <w:numPr>
          <w:ilvl w:val="0"/>
          <w:numId w:val="23"/>
        </w:numPr>
        <w:jc w:val="both"/>
      </w:pPr>
      <w:r>
        <w:t xml:space="preserve">Knelpunten worden al in andere processen opgepakt. In de Woondeal Regio Amersfoort 2027-2036 wordt het knelpunt beschreven en worden </w:t>
      </w:r>
      <w:r w:rsidR="00AD6B46">
        <w:t>ambities uitgesproken die in andere processen opgepakt kunnen worden. Tijdens het uitvoeren van de Woondeal Regio Amersfoort 2027-2036 worden deze afspraken gemonitord.</w:t>
      </w:r>
    </w:p>
    <w:p w14:paraId="77136D9C" w14:textId="39A2C6D3" w:rsidR="00EA130E" w:rsidRDefault="00202471" w:rsidP="00EA130E">
      <w:pPr>
        <w:pStyle w:val="Lijstalinea"/>
        <w:numPr>
          <w:ilvl w:val="0"/>
          <w:numId w:val="23"/>
        </w:numPr>
        <w:jc w:val="both"/>
      </w:pPr>
      <w:r>
        <w:t xml:space="preserve">Knelpunten worden </w:t>
      </w:r>
      <w:r w:rsidR="00120673">
        <w:t xml:space="preserve">– voor zover nodig - </w:t>
      </w:r>
      <w:r>
        <w:t xml:space="preserve">in de regionale werksessie nader besproken en uitgewerkt. </w:t>
      </w:r>
      <w:r w:rsidR="00414A83">
        <w:t xml:space="preserve">Daarbij wordt </w:t>
      </w:r>
      <w:r w:rsidR="00DD0A2C">
        <w:t xml:space="preserve">gezocht naar concrete, nieuwe, </w:t>
      </w:r>
      <w:r w:rsidR="002D2E1D">
        <w:t>samenwerkings</w:t>
      </w:r>
      <w:r w:rsidR="00DD0A2C">
        <w:t xml:space="preserve">afspraken om </w:t>
      </w:r>
      <w:r w:rsidR="00D03D26">
        <w:t>knelpunten op te lossen</w:t>
      </w:r>
      <w:r w:rsidR="002D2E1D">
        <w:t>. Tijdens het uitvoeren van de Woondeal Regio Amersfoort 2027-2036 word</w:t>
      </w:r>
      <w:r w:rsidR="00CD764A">
        <w:t>t op deze afspraken capaciteit ingezet</w:t>
      </w:r>
      <w:r w:rsidR="002D2E1D">
        <w:t xml:space="preserve"> </w:t>
      </w:r>
      <w:r w:rsidR="00B8532F">
        <w:t xml:space="preserve">om zo versnelling aan te brengen. </w:t>
      </w:r>
    </w:p>
    <w:p w14:paraId="384411A2" w14:textId="77777777" w:rsidR="00A46916" w:rsidRDefault="00A46916" w:rsidP="00A46916">
      <w:pPr>
        <w:jc w:val="both"/>
      </w:pPr>
    </w:p>
    <w:tbl>
      <w:tblPr>
        <w:tblStyle w:val="Tabelraster"/>
        <w:tblpPr w:leftFromText="141" w:rightFromText="141" w:vertAnchor="text" w:horzAnchor="margin" w:tblpY="183"/>
        <w:tblW w:w="0" w:type="auto"/>
        <w:tblLook w:val="04A0" w:firstRow="1" w:lastRow="0" w:firstColumn="1" w:lastColumn="0" w:noHBand="0" w:noVBand="1"/>
      </w:tblPr>
      <w:tblGrid>
        <w:gridCol w:w="3125"/>
        <w:gridCol w:w="3548"/>
        <w:gridCol w:w="2387"/>
      </w:tblGrid>
      <w:tr w:rsidR="00A46916" w:rsidRPr="004E702D" w14:paraId="041EC6BA" w14:textId="0868E5F5" w:rsidTr="00A46916">
        <w:tc>
          <w:tcPr>
            <w:tcW w:w="3125" w:type="dxa"/>
          </w:tcPr>
          <w:p w14:paraId="09ABB218" w14:textId="77777777" w:rsidR="00A46916" w:rsidRPr="00533FDE" w:rsidRDefault="00A46916" w:rsidP="00A46916">
            <w:pPr>
              <w:jc w:val="both"/>
              <w:rPr>
                <w:highlight w:val="yellow"/>
              </w:rPr>
            </w:pPr>
            <w:commentRangeStart w:id="1"/>
            <w:r w:rsidRPr="00533FDE">
              <w:rPr>
                <w:highlight w:val="yellow"/>
              </w:rPr>
              <w:t>Randvoorwaarde</w:t>
            </w:r>
          </w:p>
        </w:tc>
        <w:tc>
          <w:tcPr>
            <w:tcW w:w="3548" w:type="dxa"/>
          </w:tcPr>
          <w:p w14:paraId="1ADBFA51" w14:textId="77777777" w:rsidR="00A46916" w:rsidRPr="00533FDE" w:rsidRDefault="00A46916" w:rsidP="00A46916">
            <w:pPr>
              <w:jc w:val="both"/>
              <w:rPr>
                <w:highlight w:val="yellow"/>
              </w:rPr>
            </w:pPr>
            <w:r w:rsidRPr="00533FDE">
              <w:rPr>
                <w:highlight w:val="yellow"/>
              </w:rPr>
              <w:t>Knelpunt</w:t>
            </w:r>
          </w:p>
        </w:tc>
        <w:tc>
          <w:tcPr>
            <w:tcW w:w="2387" w:type="dxa"/>
          </w:tcPr>
          <w:p w14:paraId="3B4A8C58" w14:textId="19D0DEB6" w:rsidR="00A46916" w:rsidRPr="00533FDE" w:rsidRDefault="00A46916" w:rsidP="00A46916">
            <w:pPr>
              <w:jc w:val="both"/>
              <w:rPr>
                <w:highlight w:val="yellow"/>
              </w:rPr>
            </w:pPr>
            <w:r w:rsidRPr="00533FDE">
              <w:rPr>
                <w:highlight w:val="yellow"/>
              </w:rPr>
              <w:t>Vervolg in proces</w:t>
            </w:r>
          </w:p>
        </w:tc>
      </w:tr>
      <w:tr w:rsidR="003834E6" w:rsidRPr="004E702D" w14:paraId="665CC57A" w14:textId="77777777" w:rsidTr="00A46916">
        <w:tc>
          <w:tcPr>
            <w:tcW w:w="3125" w:type="dxa"/>
          </w:tcPr>
          <w:p w14:paraId="742FDC5E" w14:textId="77777777" w:rsidR="003834E6" w:rsidRPr="003834E6" w:rsidRDefault="003834E6" w:rsidP="00A46916">
            <w:pPr>
              <w:jc w:val="both"/>
              <w:rPr>
                <w:highlight w:val="yellow"/>
              </w:rPr>
            </w:pPr>
          </w:p>
        </w:tc>
        <w:tc>
          <w:tcPr>
            <w:tcW w:w="3548" w:type="dxa"/>
          </w:tcPr>
          <w:p w14:paraId="6B25F8C2" w14:textId="77777777" w:rsidR="003834E6" w:rsidRPr="003834E6" w:rsidRDefault="003834E6" w:rsidP="00A46916">
            <w:pPr>
              <w:jc w:val="both"/>
              <w:rPr>
                <w:highlight w:val="yellow"/>
              </w:rPr>
            </w:pPr>
          </w:p>
        </w:tc>
        <w:tc>
          <w:tcPr>
            <w:tcW w:w="2387" w:type="dxa"/>
          </w:tcPr>
          <w:p w14:paraId="2AC518FF" w14:textId="77777777" w:rsidR="003834E6" w:rsidRPr="003834E6" w:rsidRDefault="003834E6" w:rsidP="00A46916">
            <w:pPr>
              <w:jc w:val="both"/>
              <w:rPr>
                <w:highlight w:val="yellow"/>
              </w:rPr>
            </w:pPr>
          </w:p>
        </w:tc>
      </w:tr>
      <w:commentRangeEnd w:id="1"/>
      <w:tr w:rsidR="003834E6" w:rsidRPr="004E702D" w14:paraId="25DFA434" w14:textId="77777777" w:rsidTr="00A46916">
        <w:tc>
          <w:tcPr>
            <w:tcW w:w="3125" w:type="dxa"/>
          </w:tcPr>
          <w:p w14:paraId="2D702915" w14:textId="77777777" w:rsidR="003834E6" w:rsidRPr="003834E6" w:rsidRDefault="0024128B" w:rsidP="00A46916">
            <w:pPr>
              <w:jc w:val="both"/>
              <w:rPr>
                <w:highlight w:val="yellow"/>
              </w:rPr>
            </w:pPr>
            <w:r w:rsidRPr="003834E6">
              <w:rPr>
                <w:rStyle w:val="Verwijzingopmerking"/>
                <w:sz w:val="20"/>
                <w:szCs w:val="24"/>
                <w:highlight w:val="yellow"/>
              </w:rPr>
              <w:commentReference w:id="1"/>
            </w:r>
          </w:p>
        </w:tc>
        <w:tc>
          <w:tcPr>
            <w:tcW w:w="3548" w:type="dxa"/>
          </w:tcPr>
          <w:p w14:paraId="42E4DF99" w14:textId="77777777" w:rsidR="003834E6" w:rsidRPr="003834E6" w:rsidRDefault="003834E6" w:rsidP="00A46916">
            <w:pPr>
              <w:jc w:val="both"/>
              <w:rPr>
                <w:highlight w:val="yellow"/>
              </w:rPr>
            </w:pPr>
          </w:p>
        </w:tc>
        <w:tc>
          <w:tcPr>
            <w:tcW w:w="2387" w:type="dxa"/>
          </w:tcPr>
          <w:p w14:paraId="6162C9AC" w14:textId="77777777" w:rsidR="003834E6" w:rsidRPr="003834E6" w:rsidRDefault="003834E6" w:rsidP="00A46916">
            <w:pPr>
              <w:jc w:val="both"/>
              <w:rPr>
                <w:highlight w:val="yellow"/>
              </w:rPr>
            </w:pPr>
          </w:p>
        </w:tc>
      </w:tr>
    </w:tbl>
    <w:p w14:paraId="25A35D73" w14:textId="397A7300" w:rsidR="00784152" w:rsidRPr="008737EF" w:rsidRDefault="00784152" w:rsidP="008737EF">
      <w:pPr>
        <w:rPr>
          <w:rFonts w:eastAsia="Times New Roman" w:cs="Times New Roman"/>
          <w:color w:val="auto"/>
          <w:lang w:eastAsia="nl-NL"/>
        </w:rPr>
      </w:pPr>
    </w:p>
    <w:sectPr w:rsidR="00784152" w:rsidRPr="008737EF" w:rsidSect="008F29C6">
      <w:headerReference w:type="default" r:id="rId18"/>
      <w:footerReference w:type="default" r:id="rId19"/>
      <w:footerReference w:type="first" r:id="rId20"/>
      <w:pgSz w:w="11906" w:h="16838" w:code="9"/>
      <w:pgMar w:top="1418" w:right="1418" w:bottom="1418" w:left="1418" w:header="680"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rah Ten Donkelaar" w:date="2026-08-20T17:39:00Z" w:initials="ST">
    <w:p w14:paraId="7F773E8B" w14:textId="77777777" w:rsidR="008E3EFF" w:rsidRDefault="008E3EFF" w:rsidP="008E3EFF">
      <w:pPr>
        <w:pStyle w:val="Tekstopmerking"/>
      </w:pPr>
      <w:r>
        <w:rPr>
          <w:rStyle w:val="Verwijzingopmerking"/>
        </w:rPr>
        <w:annotationRef/>
      </w:r>
      <w:r>
        <w:t>Strategische adviseurs van BRA leveren nog input en verduidelijking op knelpunten</w:t>
      </w:r>
    </w:p>
  </w:comment>
  <w:comment w:id="1" w:author="Sarah Ten Donkelaar" w:date="2026-08-19T09:23:00Z" w:initials="ST">
    <w:p w14:paraId="3C384B7E" w14:textId="77777777" w:rsidR="0024128B" w:rsidRDefault="0024128B" w:rsidP="0024128B">
      <w:pPr>
        <w:pStyle w:val="Tekstopmerking"/>
      </w:pPr>
      <w:r>
        <w:rPr>
          <w:rStyle w:val="Verwijzingopmerking"/>
        </w:rPr>
        <w:annotationRef/>
      </w:r>
      <w:r>
        <w:t>Moet nog ingevuld worden. Dit kan ook tijdens het AO Wonen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773E8B" w15:done="0"/>
  <w15:commentEx w15:paraId="3C384B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4C0E77" w16cex:dateUtc="2026-08-20T15:39:00Z"/>
  <w16cex:commentExtensible w16cex:durableId="5DF63C9F" w16cex:dateUtc="2026-08-19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773E8B" w16cid:durableId="304C0E77"/>
  <w16cid:commentId w16cid:paraId="3C384B7E" w16cid:durableId="5DF63C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CBB4" w14:textId="77777777" w:rsidR="00F528EB" w:rsidRDefault="00F528EB" w:rsidP="000B3569">
      <w:r>
        <w:separator/>
      </w:r>
    </w:p>
  </w:endnote>
  <w:endnote w:type="continuationSeparator" w:id="0">
    <w:p w14:paraId="75473067" w14:textId="77777777" w:rsidR="00F528EB" w:rsidRDefault="00F528EB"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77777777"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39CE20DC"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63360" behindDoc="0" locked="0" layoutInCell="1" allowOverlap="1" wp14:anchorId="12FC0816" wp14:editId="69CEDD80">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352810869" name="Afbeelding 352810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62094" name="Afbeelding 2132762094"/>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66F88" w14:textId="77777777" w:rsidR="00F528EB" w:rsidRDefault="00F528EB" w:rsidP="000B3569">
      <w:r>
        <w:separator/>
      </w:r>
    </w:p>
  </w:footnote>
  <w:footnote w:type="continuationSeparator" w:id="0">
    <w:p w14:paraId="06CBDBDF" w14:textId="77777777" w:rsidR="00F528EB" w:rsidRDefault="00F528EB" w:rsidP="000B3569">
      <w:r>
        <w:continuationSeparator/>
      </w:r>
    </w:p>
  </w:footnote>
  <w:footnote w:id="1">
    <w:p w14:paraId="6B8295A4" w14:textId="635C85D3" w:rsidR="00120AE7" w:rsidRPr="008D4BD6" w:rsidRDefault="00120AE7">
      <w:pPr>
        <w:pStyle w:val="Voetnoottekst"/>
      </w:pPr>
      <w:r>
        <w:rPr>
          <w:rStyle w:val="Voetnootmarkering"/>
        </w:rPr>
        <w:footnoteRef/>
      </w:r>
      <w:r>
        <w:t xml:space="preserve"> </w:t>
      </w:r>
      <w:r w:rsidR="008D4BD6">
        <w:t xml:space="preserve">Provincie Utrecht, </w:t>
      </w:r>
      <w:r w:rsidR="008D4BD6" w:rsidRPr="008D4BD6">
        <w:t>Memorandum Actualisatie woondeals en volkshuisve</w:t>
      </w:r>
      <w:r w:rsidR="00E81368">
        <w:t>stin</w:t>
      </w:r>
      <w:r w:rsidR="008D4BD6" w:rsidRPr="008D4BD6">
        <w:t>gsprogrammas</w:t>
      </w:r>
    </w:p>
  </w:footnote>
  <w:footnote w:id="2">
    <w:p w14:paraId="12BFD93F" w14:textId="77777777" w:rsidR="008A43AE" w:rsidRDefault="008A43AE" w:rsidP="008A43AE">
      <w:pPr>
        <w:pStyle w:val="Voetnoottekst"/>
      </w:pPr>
      <w:r>
        <w:rPr>
          <w:rStyle w:val="Voetnootmarkering"/>
        </w:rPr>
        <w:footnoteRef/>
      </w:r>
      <w:r>
        <w:t xml:space="preserve"> Woondeal 2023-2030, pagina 12</w:t>
      </w:r>
    </w:p>
  </w:footnote>
  <w:footnote w:id="3">
    <w:p w14:paraId="78666BBD" w14:textId="052AFD47" w:rsidR="00E04EFA" w:rsidRDefault="00E04EFA">
      <w:pPr>
        <w:pStyle w:val="Voetnoottekst"/>
      </w:pPr>
      <w:r>
        <w:rPr>
          <w:rStyle w:val="Voetnootmarkering"/>
        </w:rPr>
        <w:footnoteRef/>
      </w:r>
      <w:r>
        <w:t xml:space="preserve"> Uit: Provinciale Rapportage Randvoorwaarden, p. 20</w:t>
      </w:r>
    </w:p>
  </w:footnote>
  <w:footnote w:id="4">
    <w:p w14:paraId="129467A3" w14:textId="4BA38D8C" w:rsidR="00823388" w:rsidRDefault="00823388">
      <w:pPr>
        <w:pStyle w:val="Voetnoottekst"/>
      </w:pPr>
      <w:r>
        <w:rPr>
          <w:rStyle w:val="Voetnootmarkering"/>
        </w:rPr>
        <w:footnoteRef/>
      </w:r>
      <w:r>
        <w:t xml:space="preserve"> Aanvulling SWEV</w:t>
      </w:r>
    </w:p>
  </w:footnote>
  <w:footnote w:id="5">
    <w:p w14:paraId="073F943B" w14:textId="5BC265A0" w:rsidR="00D034C4" w:rsidRDefault="00D034C4">
      <w:pPr>
        <w:pStyle w:val="Voetnoottekst"/>
      </w:pPr>
      <w:r>
        <w:rPr>
          <w:rStyle w:val="Voetnootmarkering"/>
        </w:rPr>
        <w:footnoteRef/>
      </w:r>
      <w:r>
        <w:t xml:space="preserve"> Uit: Provinciale Rapportage Randvoorwaarden, p. 10</w:t>
      </w:r>
    </w:p>
  </w:footnote>
  <w:footnote w:id="6">
    <w:p w14:paraId="520F91EB" w14:textId="7D4F8BFC" w:rsidR="00823388" w:rsidRDefault="00823388">
      <w:pPr>
        <w:pStyle w:val="Voetnoottekst"/>
      </w:pPr>
      <w:r>
        <w:rPr>
          <w:rStyle w:val="Voetnootmarkering"/>
        </w:rPr>
        <w:footnoteRef/>
      </w:r>
      <w:r>
        <w:t xml:space="preserve"> Aanvulling SWEV</w:t>
      </w:r>
    </w:p>
  </w:footnote>
  <w:footnote w:id="7">
    <w:p w14:paraId="5C35C3D4" w14:textId="2031183D" w:rsidR="00B84DD8" w:rsidRDefault="00B84DD8">
      <w:pPr>
        <w:pStyle w:val="Voetnoottekst"/>
      </w:pPr>
      <w:r>
        <w:rPr>
          <w:rStyle w:val="Voetnootmarkering"/>
        </w:rPr>
        <w:footnoteRef/>
      </w:r>
      <w:r>
        <w:t xml:space="preserve"> Uit: Woondeal 2023-2030</w:t>
      </w:r>
    </w:p>
  </w:footnote>
  <w:footnote w:id="8">
    <w:p w14:paraId="546286EA" w14:textId="3B825E76" w:rsidR="0037792C" w:rsidRDefault="0037792C">
      <w:pPr>
        <w:pStyle w:val="Voetnoottekst"/>
      </w:pPr>
      <w:r>
        <w:rPr>
          <w:rStyle w:val="Voetnootmarkering"/>
        </w:rPr>
        <w:footnoteRef/>
      </w:r>
      <w:r>
        <w:t xml:space="preserve"> Aanvulling van Bureau Regio Amersfoort</w:t>
      </w:r>
    </w:p>
  </w:footnote>
  <w:footnote w:id="9">
    <w:p w14:paraId="3526D98E" w14:textId="79A38AF3" w:rsidR="0037792C" w:rsidRDefault="0037792C">
      <w:pPr>
        <w:pStyle w:val="Voetnoottekst"/>
      </w:pPr>
      <w:r>
        <w:rPr>
          <w:rStyle w:val="Voetnootmarkering"/>
        </w:rPr>
        <w:footnoteRef/>
      </w:r>
      <w:r>
        <w:t xml:space="preserve"> Aanvulling SWEV</w:t>
      </w:r>
    </w:p>
  </w:footnote>
  <w:footnote w:id="10">
    <w:p w14:paraId="4CBDEA2F" w14:textId="725708F7" w:rsidR="00382F4E" w:rsidRDefault="00382F4E">
      <w:pPr>
        <w:pStyle w:val="Voetnoottekst"/>
      </w:pPr>
      <w:r>
        <w:rPr>
          <w:rStyle w:val="Voetnootmarkering"/>
        </w:rPr>
        <w:footnoteRef/>
      </w:r>
      <w:r>
        <w:t xml:space="preserve"> Uit: Provinciale Rapportage Randvoorwaarden, p.13</w:t>
      </w:r>
    </w:p>
  </w:footnote>
  <w:footnote w:id="11">
    <w:p w14:paraId="01715B91" w14:textId="41419891" w:rsidR="005C5BEA" w:rsidRDefault="005C5BEA">
      <w:pPr>
        <w:pStyle w:val="Voetnoottekst"/>
      </w:pPr>
      <w:r>
        <w:rPr>
          <w:rStyle w:val="Voetnootmarkering"/>
        </w:rPr>
        <w:footnoteRef/>
      </w:r>
      <w:r>
        <w:t xml:space="preserve"> Uit: Provinciale Rapportage Randvoorwaarden, p</w:t>
      </w:r>
      <w:r w:rsidR="000F08C3">
        <w:t>.18</w:t>
      </w:r>
    </w:p>
  </w:footnote>
  <w:footnote w:id="12">
    <w:p w14:paraId="1F9BA345" w14:textId="58F356C7" w:rsidR="0012319D" w:rsidRDefault="0012319D">
      <w:pPr>
        <w:pStyle w:val="Voetnoottekst"/>
      </w:pPr>
      <w:r>
        <w:rPr>
          <w:rStyle w:val="Voetnootmarkering"/>
        </w:rPr>
        <w:footnoteRef/>
      </w:r>
      <w:r>
        <w:t xml:space="preserve"> Voorstel van te bespreken knelpunt o.b.v. input van MRU-West</w:t>
      </w:r>
    </w:p>
  </w:footnote>
  <w:footnote w:id="13">
    <w:p w14:paraId="569EFDCE" w14:textId="0E07C8B6" w:rsidR="00125233" w:rsidRDefault="00125233">
      <w:pPr>
        <w:pStyle w:val="Voetnoottekst"/>
      </w:pPr>
      <w:r>
        <w:rPr>
          <w:rStyle w:val="Voetnootmarkering"/>
        </w:rPr>
        <w:footnoteRef/>
      </w:r>
      <w:r>
        <w:t xml:space="preserve"> Aanvulling SWEV</w:t>
      </w:r>
    </w:p>
  </w:footnote>
  <w:footnote w:id="14">
    <w:p w14:paraId="20CCF486" w14:textId="7F0874AC" w:rsidR="00125233" w:rsidRDefault="00125233">
      <w:pPr>
        <w:pStyle w:val="Voetnoottekst"/>
      </w:pPr>
      <w:r>
        <w:rPr>
          <w:rStyle w:val="Voetnootmarkering"/>
        </w:rPr>
        <w:footnoteRef/>
      </w:r>
      <w:r>
        <w:t xml:space="preserve"> Aanvulling SWEV</w:t>
      </w:r>
    </w:p>
  </w:footnote>
  <w:footnote w:id="15">
    <w:p w14:paraId="6229719D" w14:textId="06B444AF" w:rsidR="00125233" w:rsidRDefault="00125233">
      <w:pPr>
        <w:pStyle w:val="Voetnoottekst"/>
      </w:pPr>
      <w:r>
        <w:rPr>
          <w:rStyle w:val="Voetnootmarkering"/>
        </w:rPr>
        <w:footnoteRef/>
      </w:r>
      <w:r>
        <w:t xml:space="preserve"> Aanvulling SWEV</w:t>
      </w:r>
    </w:p>
  </w:footnote>
  <w:footnote w:id="16">
    <w:p w14:paraId="0607D431" w14:textId="51F00083" w:rsidR="00125233" w:rsidRDefault="00125233">
      <w:pPr>
        <w:pStyle w:val="Voetnoottekst"/>
      </w:pPr>
      <w:r>
        <w:rPr>
          <w:rStyle w:val="Voetnootmarkering"/>
        </w:rPr>
        <w:footnoteRef/>
      </w:r>
      <w:r>
        <w:t xml:space="preserve"> Aanvulling SWEV</w:t>
      </w:r>
    </w:p>
  </w:footnote>
  <w:footnote w:id="17">
    <w:p w14:paraId="2427AB0B" w14:textId="521411C7" w:rsidR="00125233" w:rsidRDefault="00125233">
      <w:pPr>
        <w:pStyle w:val="Voetnoottekst"/>
      </w:pPr>
      <w:r>
        <w:rPr>
          <w:rStyle w:val="Voetnootmarkering"/>
        </w:rPr>
        <w:footnoteRef/>
      </w:r>
      <w:r>
        <w:t xml:space="preserve"> Aanvulling SWEV</w:t>
      </w:r>
    </w:p>
  </w:footnote>
  <w:footnote w:id="18">
    <w:p w14:paraId="03135E8B" w14:textId="04A8CB2F" w:rsidR="00125233" w:rsidRDefault="00125233">
      <w:pPr>
        <w:pStyle w:val="Voetnoottekst"/>
      </w:pPr>
      <w:r>
        <w:rPr>
          <w:rStyle w:val="Voetnootmarkering"/>
        </w:rPr>
        <w:footnoteRef/>
      </w:r>
      <w:r>
        <w:t xml:space="preserve"> Aanvulling SWEV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8E8E" w14:textId="6B552C6C" w:rsidR="008E1C9F" w:rsidRDefault="008E1C9F">
    <w:pPr>
      <w:pStyle w:val="Koptekst"/>
    </w:pPr>
    <w:r>
      <w:rPr>
        <w:noProof/>
        <w14:ligatures w14:val="standardContextual"/>
      </w:rPr>
      <w:drawing>
        <wp:anchor distT="0" distB="0" distL="114300" distR="114300" simplePos="0" relativeHeight="251665408" behindDoc="0" locked="0" layoutInCell="1" allowOverlap="1" wp14:anchorId="3D962EA9" wp14:editId="1E8FBB54">
          <wp:simplePos x="0" y="0"/>
          <wp:positionH relativeFrom="page">
            <wp:align>left</wp:align>
          </wp:positionH>
          <wp:positionV relativeFrom="paragraph">
            <wp:posOffset>-429260</wp:posOffset>
          </wp:positionV>
          <wp:extent cx="7581265" cy="1828800"/>
          <wp:effectExtent l="0" t="0" r="635" b="0"/>
          <wp:wrapThrough wrapText="bothSides">
            <wp:wrapPolygon edited="0">
              <wp:start x="0" y="0"/>
              <wp:lineTo x="0" y="21375"/>
              <wp:lineTo x="21548" y="21375"/>
              <wp:lineTo x="21548" y="0"/>
              <wp:lineTo x="0" y="0"/>
            </wp:wrapPolygon>
          </wp:wrapThrough>
          <wp:docPr id="200880618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806189" name="Afbeelding 1"/>
                  <pic:cNvPicPr/>
                </pic:nvPicPr>
                <pic:blipFill>
                  <a:blip r:embed="rId1">
                    <a:extLst>
                      <a:ext uri="{28A0092B-C50C-407E-A947-70E740481C1C}">
                        <a14:useLocalDpi xmlns:a14="http://schemas.microsoft.com/office/drawing/2010/main" val="0"/>
                      </a:ext>
                    </a:extLst>
                  </a:blip>
                  <a:srcRect t="167" b="167"/>
                  <a:stretch>
                    <a:fillRect/>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370CC98"/>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7FC2BD54"/>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3661FB7"/>
    <w:multiLevelType w:val="hybridMultilevel"/>
    <w:tmpl w:val="24042596"/>
    <w:lvl w:ilvl="0" w:tplc="80D02BEA">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3A87948"/>
    <w:multiLevelType w:val="hybridMultilevel"/>
    <w:tmpl w:val="B1523C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5CE5549"/>
    <w:multiLevelType w:val="hybridMultilevel"/>
    <w:tmpl w:val="4404AD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75776C"/>
    <w:multiLevelType w:val="hybridMultilevel"/>
    <w:tmpl w:val="3CE239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154055"/>
    <w:multiLevelType w:val="hybridMultilevel"/>
    <w:tmpl w:val="9DA65A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342153"/>
    <w:multiLevelType w:val="hybridMultilevel"/>
    <w:tmpl w:val="3C7A9C5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1DA1821"/>
    <w:multiLevelType w:val="hybridMultilevel"/>
    <w:tmpl w:val="5400147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22A1035"/>
    <w:multiLevelType w:val="hybridMultilevel"/>
    <w:tmpl w:val="924E2578"/>
    <w:lvl w:ilvl="0" w:tplc="68561060">
      <w:numFmt w:val="bullet"/>
      <w:lvlText w:val="-"/>
      <w:lvlJc w:val="left"/>
      <w:pPr>
        <w:ind w:left="720" w:hanging="360"/>
      </w:pPr>
      <w:rPr>
        <w:rFonts w:ascii="Trebuchet MS" w:eastAsiaTheme="minorHAnsi" w:hAnsi="Trebuchet M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D812B0"/>
    <w:multiLevelType w:val="hybridMultilevel"/>
    <w:tmpl w:val="166693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0A39DF"/>
    <w:multiLevelType w:val="hybridMultilevel"/>
    <w:tmpl w:val="690666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382648B"/>
    <w:multiLevelType w:val="hybridMultilevel"/>
    <w:tmpl w:val="CF8240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38096B39"/>
    <w:multiLevelType w:val="hybridMultilevel"/>
    <w:tmpl w:val="8BFA95F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C496CAA"/>
    <w:multiLevelType w:val="hybridMultilevel"/>
    <w:tmpl w:val="1652868C"/>
    <w:lvl w:ilvl="0" w:tplc="6856106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C61134B"/>
    <w:multiLevelType w:val="multilevel"/>
    <w:tmpl w:val="BA80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F506F"/>
    <w:multiLevelType w:val="hybridMultilevel"/>
    <w:tmpl w:val="CDDC20B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1B7473C"/>
    <w:multiLevelType w:val="hybridMultilevel"/>
    <w:tmpl w:val="3132C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6CA6F88"/>
    <w:multiLevelType w:val="hybridMultilevel"/>
    <w:tmpl w:val="050AD0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D6D0F2B"/>
    <w:multiLevelType w:val="hybridMultilevel"/>
    <w:tmpl w:val="3E3A94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BF2936"/>
    <w:multiLevelType w:val="hybridMultilevel"/>
    <w:tmpl w:val="28F6D580"/>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482AE0"/>
    <w:multiLevelType w:val="hybridMultilevel"/>
    <w:tmpl w:val="32D22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F8E13C2"/>
    <w:multiLevelType w:val="hybridMultilevel"/>
    <w:tmpl w:val="637E33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0F44857"/>
    <w:multiLevelType w:val="hybridMultilevel"/>
    <w:tmpl w:val="D0002C14"/>
    <w:lvl w:ilvl="0" w:tplc="04130005">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5" w15:restartNumberingAfterBreak="0">
    <w:nsid w:val="64B3793D"/>
    <w:multiLevelType w:val="hybridMultilevel"/>
    <w:tmpl w:val="5AB679D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607652D"/>
    <w:multiLevelType w:val="hybridMultilevel"/>
    <w:tmpl w:val="81DE8E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018243B"/>
    <w:multiLevelType w:val="multilevel"/>
    <w:tmpl w:val="508E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D66FC9"/>
    <w:multiLevelType w:val="hybridMultilevel"/>
    <w:tmpl w:val="ABAA335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ABE239A"/>
    <w:multiLevelType w:val="hybridMultilevel"/>
    <w:tmpl w:val="039E469A"/>
    <w:lvl w:ilvl="0" w:tplc="68561060">
      <w:numFmt w:val="bullet"/>
      <w:lvlText w:val="-"/>
      <w:lvlJc w:val="left"/>
      <w:pPr>
        <w:ind w:left="720" w:hanging="360"/>
      </w:pPr>
      <w:rPr>
        <w:rFonts w:ascii="Trebuchet MS" w:eastAsiaTheme="minorHAnsi" w:hAnsi="Trebuchet M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25609714">
    <w:abstractNumId w:val="13"/>
  </w:num>
  <w:num w:numId="2" w16cid:durableId="140732393">
    <w:abstractNumId w:val="12"/>
  </w:num>
  <w:num w:numId="3" w16cid:durableId="162667856">
    <w:abstractNumId w:val="11"/>
  </w:num>
  <w:num w:numId="4" w16cid:durableId="1066955928">
    <w:abstractNumId w:val="20"/>
  </w:num>
  <w:num w:numId="5" w16cid:durableId="1461877827">
    <w:abstractNumId w:val="22"/>
  </w:num>
  <w:num w:numId="6" w16cid:durableId="1602569123">
    <w:abstractNumId w:val="4"/>
  </w:num>
  <w:num w:numId="7" w16cid:durableId="1719353270">
    <w:abstractNumId w:val="25"/>
  </w:num>
  <w:num w:numId="8" w16cid:durableId="1419136837">
    <w:abstractNumId w:val="24"/>
  </w:num>
  <w:num w:numId="9" w16cid:durableId="1470172498">
    <w:abstractNumId w:val="1"/>
  </w:num>
  <w:num w:numId="10" w16cid:durableId="1903560643">
    <w:abstractNumId w:val="0"/>
  </w:num>
  <w:num w:numId="11" w16cid:durableId="988245991">
    <w:abstractNumId w:val="2"/>
  </w:num>
  <w:num w:numId="12" w16cid:durableId="1584801726">
    <w:abstractNumId w:val="23"/>
  </w:num>
  <w:num w:numId="13" w16cid:durableId="252788603">
    <w:abstractNumId w:val="7"/>
  </w:num>
  <w:num w:numId="14" w16cid:durableId="1383674904">
    <w:abstractNumId w:val="17"/>
  </w:num>
  <w:num w:numId="15" w16cid:durableId="633682807">
    <w:abstractNumId w:val="21"/>
  </w:num>
  <w:num w:numId="16" w16cid:durableId="1120538258">
    <w:abstractNumId w:val="8"/>
  </w:num>
  <w:num w:numId="17" w16cid:durableId="1629698119">
    <w:abstractNumId w:val="14"/>
  </w:num>
  <w:num w:numId="18" w16cid:durableId="1264073258">
    <w:abstractNumId w:val="16"/>
  </w:num>
  <w:num w:numId="19" w16cid:durableId="925652097">
    <w:abstractNumId w:val="27"/>
  </w:num>
  <w:num w:numId="20" w16cid:durableId="314459615">
    <w:abstractNumId w:val="9"/>
  </w:num>
  <w:num w:numId="21" w16cid:durableId="1594119802">
    <w:abstractNumId w:val="3"/>
  </w:num>
  <w:num w:numId="22" w16cid:durableId="202059825">
    <w:abstractNumId w:val="29"/>
  </w:num>
  <w:num w:numId="23" w16cid:durableId="901332404">
    <w:abstractNumId w:val="28"/>
  </w:num>
  <w:num w:numId="24" w16cid:durableId="509217053">
    <w:abstractNumId w:val="15"/>
  </w:num>
  <w:num w:numId="25" w16cid:durableId="1835216573">
    <w:abstractNumId w:val="26"/>
  </w:num>
  <w:num w:numId="26" w16cid:durableId="1384256716">
    <w:abstractNumId w:val="5"/>
  </w:num>
  <w:num w:numId="27" w16cid:durableId="313530439">
    <w:abstractNumId w:val="10"/>
  </w:num>
  <w:num w:numId="28" w16cid:durableId="2047174027">
    <w:abstractNumId w:val="18"/>
  </w:num>
  <w:num w:numId="29" w16cid:durableId="1046955684">
    <w:abstractNumId w:val="19"/>
  </w:num>
  <w:num w:numId="30" w16cid:durableId="2320066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ah Ten Donkelaar">
    <w15:presenceInfo w15:providerId="AD" w15:userId="S::SIS.TenDonkelaar@amersfoort.nl::f6ae669a-b5bb-4be9-91f1-7c8a37618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5C0"/>
    <w:rsid w:val="00007B96"/>
    <w:rsid w:val="00022A53"/>
    <w:rsid w:val="000278FC"/>
    <w:rsid w:val="00046B43"/>
    <w:rsid w:val="00061523"/>
    <w:rsid w:val="00081159"/>
    <w:rsid w:val="00081ADA"/>
    <w:rsid w:val="000924FE"/>
    <w:rsid w:val="000B1753"/>
    <w:rsid w:val="000B3569"/>
    <w:rsid w:val="000B64BC"/>
    <w:rsid w:val="000C53A3"/>
    <w:rsid w:val="000C6C4E"/>
    <w:rsid w:val="000D0824"/>
    <w:rsid w:val="000E0504"/>
    <w:rsid w:val="000E659F"/>
    <w:rsid w:val="000E743B"/>
    <w:rsid w:val="000F08C3"/>
    <w:rsid w:val="000F1CDF"/>
    <w:rsid w:val="000F2B4C"/>
    <w:rsid w:val="00102EEF"/>
    <w:rsid w:val="00110C57"/>
    <w:rsid w:val="00113F53"/>
    <w:rsid w:val="00120673"/>
    <w:rsid w:val="00120AE7"/>
    <w:rsid w:val="00120D50"/>
    <w:rsid w:val="0012235F"/>
    <w:rsid w:val="0012319D"/>
    <w:rsid w:val="00125233"/>
    <w:rsid w:val="00146183"/>
    <w:rsid w:val="00155B6B"/>
    <w:rsid w:val="001663C2"/>
    <w:rsid w:val="00171D08"/>
    <w:rsid w:val="00172E8A"/>
    <w:rsid w:val="0018130D"/>
    <w:rsid w:val="00184FBE"/>
    <w:rsid w:val="00186134"/>
    <w:rsid w:val="00192AC0"/>
    <w:rsid w:val="00194FC2"/>
    <w:rsid w:val="001A5B1D"/>
    <w:rsid w:val="001A5FB3"/>
    <w:rsid w:val="001B0368"/>
    <w:rsid w:val="001B4899"/>
    <w:rsid w:val="001B5283"/>
    <w:rsid w:val="001B5F90"/>
    <w:rsid w:val="001C6A13"/>
    <w:rsid w:val="001E3A8D"/>
    <w:rsid w:val="001F593C"/>
    <w:rsid w:val="001F7548"/>
    <w:rsid w:val="00202471"/>
    <w:rsid w:val="00205315"/>
    <w:rsid w:val="002055F5"/>
    <w:rsid w:val="0021543E"/>
    <w:rsid w:val="002155FE"/>
    <w:rsid w:val="00223E66"/>
    <w:rsid w:val="00227D5A"/>
    <w:rsid w:val="00230501"/>
    <w:rsid w:val="002353A3"/>
    <w:rsid w:val="00236411"/>
    <w:rsid w:val="0024128B"/>
    <w:rsid w:val="00245764"/>
    <w:rsid w:val="00252C3F"/>
    <w:rsid w:val="002536BB"/>
    <w:rsid w:val="00254559"/>
    <w:rsid w:val="00256A4F"/>
    <w:rsid w:val="002710E1"/>
    <w:rsid w:val="00272548"/>
    <w:rsid w:val="00275074"/>
    <w:rsid w:val="00287CEF"/>
    <w:rsid w:val="002965EF"/>
    <w:rsid w:val="002A7CA8"/>
    <w:rsid w:val="002B05B1"/>
    <w:rsid w:val="002B49E5"/>
    <w:rsid w:val="002C233D"/>
    <w:rsid w:val="002D0237"/>
    <w:rsid w:val="002D2E1D"/>
    <w:rsid w:val="002E2784"/>
    <w:rsid w:val="002F25B0"/>
    <w:rsid w:val="002F4CBA"/>
    <w:rsid w:val="002F6F79"/>
    <w:rsid w:val="0032138D"/>
    <w:rsid w:val="0032316B"/>
    <w:rsid w:val="00324190"/>
    <w:rsid w:val="00326AE8"/>
    <w:rsid w:val="00331F58"/>
    <w:rsid w:val="00344391"/>
    <w:rsid w:val="0036171E"/>
    <w:rsid w:val="00371D04"/>
    <w:rsid w:val="0037792C"/>
    <w:rsid w:val="00382F4E"/>
    <w:rsid w:val="003834E6"/>
    <w:rsid w:val="0038396B"/>
    <w:rsid w:val="00383B36"/>
    <w:rsid w:val="003A7E22"/>
    <w:rsid w:val="003B4E97"/>
    <w:rsid w:val="003D3AB5"/>
    <w:rsid w:val="003F2AC2"/>
    <w:rsid w:val="00400C4B"/>
    <w:rsid w:val="004045D3"/>
    <w:rsid w:val="00405086"/>
    <w:rsid w:val="00410672"/>
    <w:rsid w:val="00414A83"/>
    <w:rsid w:val="004361D6"/>
    <w:rsid w:val="004432E6"/>
    <w:rsid w:val="00444409"/>
    <w:rsid w:val="00444886"/>
    <w:rsid w:val="00444D41"/>
    <w:rsid w:val="00447A13"/>
    <w:rsid w:val="00450A41"/>
    <w:rsid w:val="004553C2"/>
    <w:rsid w:val="004611BA"/>
    <w:rsid w:val="00467268"/>
    <w:rsid w:val="0047271A"/>
    <w:rsid w:val="00486E4F"/>
    <w:rsid w:val="00490E8B"/>
    <w:rsid w:val="004A4371"/>
    <w:rsid w:val="004A66D2"/>
    <w:rsid w:val="004B73FB"/>
    <w:rsid w:val="004B7511"/>
    <w:rsid w:val="004D14CD"/>
    <w:rsid w:val="004E0082"/>
    <w:rsid w:val="004E539E"/>
    <w:rsid w:val="004E5716"/>
    <w:rsid w:val="004E5EE6"/>
    <w:rsid w:val="004E6CF7"/>
    <w:rsid w:val="004E702D"/>
    <w:rsid w:val="005005E1"/>
    <w:rsid w:val="005058FB"/>
    <w:rsid w:val="00522AB2"/>
    <w:rsid w:val="00532EA5"/>
    <w:rsid w:val="00533FDE"/>
    <w:rsid w:val="005440A0"/>
    <w:rsid w:val="00545B58"/>
    <w:rsid w:val="0056043B"/>
    <w:rsid w:val="00573A6D"/>
    <w:rsid w:val="0057772B"/>
    <w:rsid w:val="00580195"/>
    <w:rsid w:val="00583CB0"/>
    <w:rsid w:val="00596079"/>
    <w:rsid w:val="005A12AA"/>
    <w:rsid w:val="005B27A3"/>
    <w:rsid w:val="005C5BEA"/>
    <w:rsid w:val="005D7488"/>
    <w:rsid w:val="005D7FB4"/>
    <w:rsid w:val="005E1628"/>
    <w:rsid w:val="005F1B89"/>
    <w:rsid w:val="005F46FF"/>
    <w:rsid w:val="005F6FB3"/>
    <w:rsid w:val="0060102B"/>
    <w:rsid w:val="00606E9D"/>
    <w:rsid w:val="00607C18"/>
    <w:rsid w:val="00610266"/>
    <w:rsid w:val="00615F6D"/>
    <w:rsid w:val="0062393C"/>
    <w:rsid w:val="00631EFD"/>
    <w:rsid w:val="00656878"/>
    <w:rsid w:val="006667B0"/>
    <w:rsid w:val="00671212"/>
    <w:rsid w:val="00672719"/>
    <w:rsid w:val="00681169"/>
    <w:rsid w:val="006837A0"/>
    <w:rsid w:val="006878C6"/>
    <w:rsid w:val="0069173E"/>
    <w:rsid w:val="00695C1C"/>
    <w:rsid w:val="00696BDD"/>
    <w:rsid w:val="006B3579"/>
    <w:rsid w:val="006B5731"/>
    <w:rsid w:val="006B686E"/>
    <w:rsid w:val="006B7CD4"/>
    <w:rsid w:val="006C08A0"/>
    <w:rsid w:val="006E235B"/>
    <w:rsid w:val="006E319F"/>
    <w:rsid w:val="006E4598"/>
    <w:rsid w:val="006E4C7C"/>
    <w:rsid w:val="006E6E63"/>
    <w:rsid w:val="00710963"/>
    <w:rsid w:val="0071371E"/>
    <w:rsid w:val="0071545E"/>
    <w:rsid w:val="007245E4"/>
    <w:rsid w:val="00732E9E"/>
    <w:rsid w:val="00735F29"/>
    <w:rsid w:val="0074621A"/>
    <w:rsid w:val="0075754C"/>
    <w:rsid w:val="007644B6"/>
    <w:rsid w:val="00776D32"/>
    <w:rsid w:val="00784152"/>
    <w:rsid w:val="00786894"/>
    <w:rsid w:val="0079004C"/>
    <w:rsid w:val="0079316A"/>
    <w:rsid w:val="00795B61"/>
    <w:rsid w:val="007A2639"/>
    <w:rsid w:val="007A5237"/>
    <w:rsid w:val="007A70DB"/>
    <w:rsid w:val="007A7A16"/>
    <w:rsid w:val="007B084A"/>
    <w:rsid w:val="007B0D56"/>
    <w:rsid w:val="007B1086"/>
    <w:rsid w:val="007B6367"/>
    <w:rsid w:val="007C0596"/>
    <w:rsid w:val="007C1EC4"/>
    <w:rsid w:val="007D1C9C"/>
    <w:rsid w:val="007D4FF4"/>
    <w:rsid w:val="007D59A9"/>
    <w:rsid w:val="007D6F25"/>
    <w:rsid w:val="007F0082"/>
    <w:rsid w:val="007F51B9"/>
    <w:rsid w:val="007F7414"/>
    <w:rsid w:val="00803FFD"/>
    <w:rsid w:val="00813AAF"/>
    <w:rsid w:val="008163E5"/>
    <w:rsid w:val="00820B52"/>
    <w:rsid w:val="00823388"/>
    <w:rsid w:val="0082517C"/>
    <w:rsid w:val="00825CC0"/>
    <w:rsid w:val="00827D5A"/>
    <w:rsid w:val="00830080"/>
    <w:rsid w:val="008325A3"/>
    <w:rsid w:val="00834F1E"/>
    <w:rsid w:val="00845ABA"/>
    <w:rsid w:val="0085342D"/>
    <w:rsid w:val="00854EE0"/>
    <w:rsid w:val="00863235"/>
    <w:rsid w:val="00873430"/>
    <w:rsid w:val="008736FD"/>
    <w:rsid w:val="008737EF"/>
    <w:rsid w:val="0088095A"/>
    <w:rsid w:val="00881331"/>
    <w:rsid w:val="008823CB"/>
    <w:rsid w:val="0088251B"/>
    <w:rsid w:val="00882D44"/>
    <w:rsid w:val="008830CF"/>
    <w:rsid w:val="008A14ED"/>
    <w:rsid w:val="008A43AE"/>
    <w:rsid w:val="008B0C48"/>
    <w:rsid w:val="008B36E5"/>
    <w:rsid w:val="008B46E2"/>
    <w:rsid w:val="008B5EF2"/>
    <w:rsid w:val="008C4740"/>
    <w:rsid w:val="008D2722"/>
    <w:rsid w:val="008D4BD6"/>
    <w:rsid w:val="008D51B0"/>
    <w:rsid w:val="008E1C9F"/>
    <w:rsid w:val="008E3EFF"/>
    <w:rsid w:val="008E66B7"/>
    <w:rsid w:val="008E722C"/>
    <w:rsid w:val="008E7A47"/>
    <w:rsid w:val="008F29C6"/>
    <w:rsid w:val="008F2ACB"/>
    <w:rsid w:val="009056AA"/>
    <w:rsid w:val="00905EEF"/>
    <w:rsid w:val="0090607A"/>
    <w:rsid w:val="00907E73"/>
    <w:rsid w:val="009100CF"/>
    <w:rsid w:val="009166A0"/>
    <w:rsid w:val="00920D5D"/>
    <w:rsid w:val="00922C21"/>
    <w:rsid w:val="00932A51"/>
    <w:rsid w:val="0093534F"/>
    <w:rsid w:val="0094468F"/>
    <w:rsid w:val="00952E62"/>
    <w:rsid w:val="00957368"/>
    <w:rsid w:val="009662E3"/>
    <w:rsid w:val="0096775D"/>
    <w:rsid w:val="00967790"/>
    <w:rsid w:val="009836FF"/>
    <w:rsid w:val="009915BD"/>
    <w:rsid w:val="00992D30"/>
    <w:rsid w:val="009A1C4D"/>
    <w:rsid w:val="009A2403"/>
    <w:rsid w:val="009C14D5"/>
    <w:rsid w:val="009C162B"/>
    <w:rsid w:val="009D70C9"/>
    <w:rsid w:val="009E5919"/>
    <w:rsid w:val="009F76FB"/>
    <w:rsid w:val="00A04A62"/>
    <w:rsid w:val="00A05F2C"/>
    <w:rsid w:val="00A06D4F"/>
    <w:rsid w:val="00A13AFC"/>
    <w:rsid w:val="00A14BDE"/>
    <w:rsid w:val="00A164B9"/>
    <w:rsid w:val="00A338E4"/>
    <w:rsid w:val="00A46916"/>
    <w:rsid w:val="00A53D9D"/>
    <w:rsid w:val="00A5770E"/>
    <w:rsid w:val="00A61D9F"/>
    <w:rsid w:val="00A63551"/>
    <w:rsid w:val="00A712FB"/>
    <w:rsid w:val="00A716CC"/>
    <w:rsid w:val="00A81918"/>
    <w:rsid w:val="00A82BFD"/>
    <w:rsid w:val="00A943DD"/>
    <w:rsid w:val="00A97D8F"/>
    <w:rsid w:val="00AC5053"/>
    <w:rsid w:val="00AD0A8E"/>
    <w:rsid w:val="00AD3FC7"/>
    <w:rsid w:val="00AD5A30"/>
    <w:rsid w:val="00AD6B46"/>
    <w:rsid w:val="00AF68B8"/>
    <w:rsid w:val="00AF7385"/>
    <w:rsid w:val="00B07C67"/>
    <w:rsid w:val="00B25E39"/>
    <w:rsid w:val="00B2616B"/>
    <w:rsid w:val="00B46EF4"/>
    <w:rsid w:val="00B526E6"/>
    <w:rsid w:val="00B61BD5"/>
    <w:rsid w:val="00B77172"/>
    <w:rsid w:val="00B84DD8"/>
    <w:rsid w:val="00B8532F"/>
    <w:rsid w:val="00B87976"/>
    <w:rsid w:val="00B94D7A"/>
    <w:rsid w:val="00B95EE1"/>
    <w:rsid w:val="00BA5815"/>
    <w:rsid w:val="00BA68E4"/>
    <w:rsid w:val="00BC297E"/>
    <w:rsid w:val="00BC3FE4"/>
    <w:rsid w:val="00BC6ABA"/>
    <w:rsid w:val="00BD3BF3"/>
    <w:rsid w:val="00BD56E4"/>
    <w:rsid w:val="00BE18A1"/>
    <w:rsid w:val="00BE4968"/>
    <w:rsid w:val="00BE73C2"/>
    <w:rsid w:val="00BF0070"/>
    <w:rsid w:val="00BF6573"/>
    <w:rsid w:val="00C02906"/>
    <w:rsid w:val="00C0628F"/>
    <w:rsid w:val="00C25339"/>
    <w:rsid w:val="00C371ED"/>
    <w:rsid w:val="00C37CBC"/>
    <w:rsid w:val="00C54107"/>
    <w:rsid w:val="00C55428"/>
    <w:rsid w:val="00C63880"/>
    <w:rsid w:val="00C67986"/>
    <w:rsid w:val="00C733DC"/>
    <w:rsid w:val="00C73BC8"/>
    <w:rsid w:val="00C815C5"/>
    <w:rsid w:val="00C82651"/>
    <w:rsid w:val="00C8677E"/>
    <w:rsid w:val="00C92572"/>
    <w:rsid w:val="00C93535"/>
    <w:rsid w:val="00CB4000"/>
    <w:rsid w:val="00CB798B"/>
    <w:rsid w:val="00CD33C1"/>
    <w:rsid w:val="00CD764A"/>
    <w:rsid w:val="00CE17B2"/>
    <w:rsid w:val="00CE5203"/>
    <w:rsid w:val="00CF0235"/>
    <w:rsid w:val="00CF0EFA"/>
    <w:rsid w:val="00CF1A9E"/>
    <w:rsid w:val="00D00373"/>
    <w:rsid w:val="00D034C4"/>
    <w:rsid w:val="00D03D26"/>
    <w:rsid w:val="00D04685"/>
    <w:rsid w:val="00D072F0"/>
    <w:rsid w:val="00D14678"/>
    <w:rsid w:val="00D178A5"/>
    <w:rsid w:val="00D2288F"/>
    <w:rsid w:val="00D257DF"/>
    <w:rsid w:val="00D44D6A"/>
    <w:rsid w:val="00D51D75"/>
    <w:rsid w:val="00D55B76"/>
    <w:rsid w:val="00D7169E"/>
    <w:rsid w:val="00D74862"/>
    <w:rsid w:val="00D868EF"/>
    <w:rsid w:val="00DB17A2"/>
    <w:rsid w:val="00DB31D7"/>
    <w:rsid w:val="00DB3875"/>
    <w:rsid w:val="00DC6D84"/>
    <w:rsid w:val="00DD0A2C"/>
    <w:rsid w:val="00DD2C8D"/>
    <w:rsid w:val="00DD3CCB"/>
    <w:rsid w:val="00DD4BAB"/>
    <w:rsid w:val="00DD77D4"/>
    <w:rsid w:val="00DF4F2C"/>
    <w:rsid w:val="00E04EFA"/>
    <w:rsid w:val="00E06D1A"/>
    <w:rsid w:val="00E12D91"/>
    <w:rsid w:val="00E1656E"/>
    <w:rsid w:val="00E4067D"/>
    <w:rsid w:val="00E428CC"/>
    <w:rsid w:val="00E529A8"/>
    <w:rsid w:val="00E64AE8"/>
    <w:rsid w:val="00E81368"/>
    <w:rsid w:val="00E81C8F"/>
    <w:rsid w:val="00E828F6"/>
    <w:rsid w:val="00E82BEE"/>
    <w:rsid w:val="00E87061"/>
    <w:rsid w:val="00E91B19"/>
    <w:rsid w:val="00E95394"/>
    <w:rsid w:val="00E974C6"/>
    <w:rsid w:val="00EA130E"/>
    <w:rsid w:val="00EB015D"/>
    <w:rsid w:val="00ED510D"/>
    <w:rsid w:val="00ED6F4C"/>
    <w:rsid w:val="00ED745E"/>
    <w:rsid w:val="00EE6624"/>
    <w:rsid w:val="00F06A99"/>
    <w:rsid w:val="00F21C2B"/>
    <w:rsid w:val="00F44AE0"/>
    <w:rsid w:val="00F50BD4"/>
    <w:rsid w:val="00F528EB"/>
    <w:rsid w:val="00F52E5F"/>
    <w:rsid w:val="00F52FF1"/>
    <w:rsid w:val="00F5431B"/>
    <w:rsid w:val="00F7392F"/>
    <w:rsid w:val="00F74F4A"/>
    <w:rsid w:val="00F751B2"/>
    <w:rsid w:val="00F80D5C"/>
    <w:rsid w:val="00FA3355"/>
    <w:rsid w:val="00FA33B0"/>
    <w:rsid w:val="00FA79CB"/>
    <w:rsid w:val="00FB1F84"/>
    <w:rsid w:val="00FB3C64"/>
    <w:rsid w:val="00FB4B52"/>
    <w:rsid w:val="00FB655B"/>
    <w:rsid w:val="00FC5591"/>
    <w:rsid w:val="00FF1222"/>
    <w:rsid w:val="00FF4417"/>
    <w:rsid w:val="00FF4CB3"/>
    <w:rsid w:val="00FF5E61"/>
    <w:rsid w:val="00FF60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1A755123-E286-9147-92E8-033D1E82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0055C0"/>
    <w:rPr>
      <w:rFonts w:ascii="Trebuchet MS" w:hAnsi="Trebuchet MS"/>
      <w:color w:val="000000" w:themeColor="text1"/>
      <w:kern w:val="0"/>
      <w:sz w:val="20"/>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paragraph" w:styleId="Kop2">
    <w:name w:val="heading 2"/>
    <w:basedOn w:val="Standaard"/>
    <w:next w:val="Standaard"/>
    <w:link w:val="Kop2Char"/>
    <w:uiPriority w:val="9"/>
    <w:unhideWhenUsed/>
    <w:qFormat/>
    <w:rsid w:val="00C679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5">
    <w:name w:val="heading 5"/>
    <w:basedOn w:val="Standaard"/>
    <w:next w:val="Standaard"/>
    <w:link w:val="Kop5Char"/>
    <w:uiPriority w:val="9"/>
    <w:semiHidden/>
    <w:unhideWhenUsed/>
    <w:qFormat/>
    <w:rsid w:val="00B07C6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2A7CA8"/>
    <w:pPr>
      <w:ind w:left="720"/>
      <w:contextualSpacing/>
    </w:pPr>
    <w:rPr>
      <w:rFonts w:eastAsia="Times New Roman" w:cs="Times New Roman"/>
      <w:color w:val="auto"/>
      <w:lang w:eastAsia="nl-NL"/>
    </w:rPr>
  </w:style>
  <w:style w:type="character" w:customStyle="1" w:styleId="Kop5Char">
    <w:name w:val="Kop 5 Char"/>
    <w:basedOn w:val="Standaardalinea-lettertype"/>
    <w:link w:val="Kop5"/>
    <w:uiPriority w:val="9"/>
    <w:semiHidden/>
    <w:rsid w:val="00B07C67"/>
    <w:rPr>
      <w:rFonts w:asciiTheme="majorHAnsi" w:eastAsiaTheme="majorEastAsia" w:hAnsiTheme="majorHAnsi" w:cstheme="majorBidi"/>
      <w:color w:val="2F5496" w:themeColor="accent1" w:themeShade="BF"/>
      <w:kern w:val="0"/>
      <w:sz w:val="20"/>
      <w14:ligatures w14:val="none"/>
    </w:rPr>
  </w:style>
  <w:style w:type="paragraph" w:styleId="Normaalweb">
    <w:name w:val="Normal (Web)"/>
    <w:basedOn w:val="Standaard"/>
    <w:uiPriority w:val="99"/>
    <w:semiHidden/>
    <w:unhideWhenUsed/>
    <w:rsid w:val="00B07C67"/>
    <w:pPr>
      <w:spacing w:before="100" w:beforeAutospacing="1" w:after="100" w:afterAutospacing="1"/>
    </w:pPr>
    <w:rPr>
      <w:rFonts w:ascii="Times New Roman" w:eastAsia="Times New Roman" w:hAnsi="Times New Roman" w:cs="Times New Roman"/>
      <w:color w:val="auto"/>
      <w:sz w:val="24"/>
      <w:lang w:eastAsia="nl-NL"/>
    </w:rPr>
  </w:style>
  <w:style w:type="paragraph" w:customStyle="1" w:styleId="Kop1BRA">
    <w:name w:val="Kop 1 BRA"/>
    <w:basedOn w:val="Standaard"/>
    <w:link w:val="Kop1BRAChar"/>
    <w:qFormat/>
    <w:rsid w:val="000055C0"/>
    <w:pPr>
      <w:spacing w:line="360" w:lineRule="auto"/>
    </w:pPr>
    <w:rPr>
      <w:b/>
      <w:bCs/>
      <w:color w:val="auto"/>
      <w:sz w:val="24"/>
      <w:lang w:val="en-US"/>
    </w:rPr>
  </w:style>
  <w:style w:type="character" w:customStyle="1" w:styleId="Kop1BRAChar">
    <w:name w:val="Kop 1 BRA Char"/>
    <w:basedOn w:val="Standaardalinea-lettertype"/>
    <w:link w:val="Kop1BRA"/>
    <w:rsid w:val="000055C0"/>
    <w:rPr>
      <w:rFonts w:ascii="Trebuchet MS" w:hAnsi="Trebuchet MS"/>
      <w:b/>
      <w:bCs/>
      <w:kern w:val="0"/>
      <w:lang w:val="en-US"/>
      <w14:ligatures w14:val="none"/>
    </w:rPr>
  </w:style>
  <w:style w:type="paragraph" w:customStyle="1" w:styleId="TussenkopBRA">
    <w:name w:val="Tussenkop BRA"/>
    <w:basedOn w:val="Standaard"/>
    <w:link w:val="TussenkopBRAChar"/>
    <w:qFormat/>
    <w:rsid w:val="0060102B"/>
    <w:rPr>
      <w:i/>
      <w:iCs/>
      <w:lang w:val="en-US"/>
    </w:rPr>
  </w:style>
  <w:style w:type="character" w:customStyle="1" w:styleId="TussenkopBRAChar">
    <w:name w:val="Tussenkop BRA Char"/>
    <w:basedOn w:val="Standaardalinea-lettertype"/>
    <w:link w:val="TussenkopBRA"/>
    <w:rsid w:val="0060102B"/>
    <w:rPr>
      <w:rFonts w:ascii="Trebuchet MS" w:hAnsi="Trebuchet MS"/>
      <w:i/>
      <w:iCs/>
      <w:color w:val="000000" w:themeColor="text1"/>
      <w:kern w:val="0"/>
      <w:sz w:val="20"/>
      <w:lang w:val="en-US"/>
      <w14:ligatures w14:val="none"/>
    </w:rPr>
  </w:style>
  <w:style w:type="character" w:customStyle="1" w:styleId="Kop2Char">
    <w:name w:val="Kop 2 Char"/>
    <w:basedOn w:val="Standaardalinea-lettertype"/>
    <w:link w:val="Kop2"/>
    <w:uiPriority w:val="9"/>
    <w:rsid w:val="00C67986"/>
    <w:rPr>
      <w:rFonts w:asciiTheme="majorHAnsi" w:eastAsiaTheme="majorEastAsia" w:hAnsiTheme="majorHAnsi" w:cstheme="majorBidi"/>
      <w:color w:val="2F5496" w:themeColor="accent1" w:themeShade="BF"/>
      <w:kern w:val="0"/>
      <w:sz w:val="26"/>
      <w:szCs w:val="26"/>
      <w14:ligatures w14:val="none"/>
    </w:rPr>
  </w:style>
  <w:style w:type="paragraph" w:customStyle="1" w:styleId="Kop2BRA">
    <w:name w:val="Kop 2 BRA"/>
    <w:basedOn w:val="Standaard"/>
    <w:link w:val="Kop2BRAChar"/>
    <w:qFormat/>
    <w:rsid w:val="00A61D9F"/>
    <w:pPr>
      <w:spacing w:line="276" w:lineRule="auto"/>
    </w:pPr>
    <w:rPr>
      <w:b/>
      <w:bCs/>
      <w:color w:val="E15929"/>
      <w:sz w:val="24"/>
    </w:rPr>
  </w:style>
  <w:style w:type="character" w:customStyle="1" w:styleId="Kop2BRAChar">
    <w:name w:val="Kop 2 BRA Char"/>
    <w:basedOn w:val="Standaardalinea-lettertype"/>
    <w:link w:val="Kop2BRA"/>
    <w:rsid w:val="00A61D9F"/>
    <w:rPr>
      <w:rFonts w:ascii="Trebuchet MS" w:hAnsi="Trebuchet MS"/>
      <w:b/>
      <w:bCs/>
      <w:color w:val="E15929"/>
      <w:kern w:val="0"/>
      <w14:ligatures w14:val="none"/>
    </w:rPr>
  </w:style>
  <w:style w:type="paragraph" w:styleId="Lijstopsomteken">
    <w:name w:val="List Bullet"/>
    <w:basedOn w:val="Standaard"/>
    <w:uiPriority w:val="99"/>
    <w:unhideWhenUsed/>
    <w:rsid w:val="008B0C48"/>
    <w:pPr>
      <w:numPr>
        <w:numId w:val="9"/>
      </w:numPr>
      <w:tabs>
        <w:tab w:val="clear" w:pos="360"/>
      </w:tabs>
      <w:spacing w:after="200" w:line="276" w:lineRule="auto"/>
      <w:ind w:left="0" w:firstLine="0"/>
      <w:contextualSpacing/>
    </w:pPr>
    <w:rPr>
      <w:rFonts w:asciiTheme="minorHAnsi" w:eastAsiaTheme="minorEastAsia" w:hAnsiTheme="minorHAnsi"/>
      <w:color w:val="auto"/>
      <w:sz w:val="22"/>
      <w:szCs w:val="22"/>
      <w:lang w:val="en-US"/>
    </w:rPr>
  </w:style>
  <w:style w:type="paragraph" w:styleId="Lijstnummering">
    <w:name w:val="List Number"/>
    <w:basedOn w:val="Standaard"/>
    <w:uiPriority w:val="99"/>
    <w:unhideWhenUsed/>
    <w:rsid w:val="008B0C48"/>
    <w:pPr>
      <w:numPr>
        <w:numId w:val="10"/>
      </w:numPr>
      <w:tabs>
        <w:tab w:val="clear" w:pos="360"/>
      </w:tabs>
      <w:spacing w:after="200" w:line="276" w:lineRule="auto"/>
      <w:ind w:left="0" w:firstLine="0"/>
      <w:contextualSpacing/>
    </w:pPr>
    <w:rPr>
      <w:rFonts w:asciiTheme="minorHAnsi" w:eastAsiaTheme="minorEastAsia" w:hAnsiTheme="minorHAnsi"/>
      <w:color w:val="auto"/>
      <w:sz w:val="22"/>
      <w:szCs w:val="22"/>
      <w:lang w:val="en-US"/>
    </w:rPr>
  </w:style>
  <w:style w:type="table" w:styleId="Rastertabel5donker-Accent2">
    <w:name w:val="Grid Table 5 Dark Accent 2"/>
    <w:basedOn w:val="Standaardtabel"/>
    <w:uiPriority w:val="50"/>
    <w:rsid w:val="007A70D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Voetnoottekst">
    <w:name w:val="footnote text"/>
    <w:basedOn w:val="Standaard"/>
    <w:link w:val="VoetnoottekstChar"/>
    <w:uiPriority w:val="99"/>
    <w:semiHidden/>
    <w:unhideWhenUsed/>
    <w:rsid w:val="00A13AFC"/>
    <w:rPr>
      <w:szCs w:val="20"/>
    </w:rPr>
  </w:style>
  <w:style w:type="character" w:customStyle="1" w:styleId="VoetnoottekstChar">
    <w:name w:val="Voetnoottekst Char"/>
    <w:basedOn w:val="Standaardalinea-lettertype"/>
    <w:link w:val="Voetnoottekst"/>
    <w:uiPriority w:val="99"/>
    <w:semiHidden/>
    <w:rsid w:val="00A13AFC"/>
    <w:rPr>
      <w:rFonts w:ascii="Trebuchet MS" w:hAnsi="Trebuchet MS"/>
      <w:color w:val="000000" w:themeColor="text1"/>
      <w:kern w:val="0"/>
      <w:sz w:val="20"/>
      <w:szCs w:val="20"/>
      <w14:ligatures w14:val="none"/>
    </w:rPr>
  </w:style>
  <w:style w:type="character" w:styleId="Voetnootmarkering">
    <w:name w:val="footnote reference"/>
    <w:basedOn w:val="Standaardalinea-lettertype"/>
    <w:uiPriority w:val="99"/>
    <w:semiHidden/>
    <w:unhideWhenUsed/>
    <w:rsid w:val="00A13AFC"/>
    <w:rPr>
      <w:vertAlign w:val="superscript"/>
    </w:rPr>
  </w:style>
  <w:style w:type="character" w:styleId="Hyperlink">
    <w:name w:val="Hyperlink"/>
    <w:basedOn w:val="Standaardalinea-lettertype"/>
    <w:uiPriority w:val="99"/>
    <w:unhideWhenUsed/>
    <w:rsid w:val="00A13AFC"/>
    <w:rPr>
      <w:color w:val="0563C1" w:themeColor="hyperlink"/>
      <w:u w:val="single"/>
    </w:rPr>
  </w:style>
  <w:style w:type="character" w:styleId="Onopgelostemelding">
    <w:name w:val="Unresolved Mention"/>
    <w:basedOn w:val="Standaardalinea-lettertype"/>
    <w:uiPriority w:val="99"/>
    <w:semiHidden/>
    <w:unhideWhenUsed/>
    <w:rsid w:val="00A13AFC"/>
    <w:rPr>
      <w:color w:val="605E5C"/>
      <w:shd w:val="clear" w:color="auto" w:fill="E1DFDD"/>
    </w:rPr>
  </w:style>
  <w:style w:type="character" w:styleId="Verwijzingopmerking">
    <w:name w:val="annotation reference"/>
    <w:basedOn w:val="Standaardalinea-lettertype"/>
    <w:uiPriority w:val="99"/>
    <w:semiHidden/>
    <w:unhideWhenUsed/>
    <w:rsid w:val="000D0824"/>
    <w:rPr>
      <w:sz w:val="16"/>
      <w:szCs w:val="16"/>
    </w:rPr>
  </w:style>
  <w:style w:type="paragraph" w:styleId="Tekstopmerking">
    <w:name w:val="annotation text"/>
    <w:basedOn w:val="Standaard"/>
    <w:link w:val="TekstopmerkingChar"/>
    <w:uiPriority w:val="99"/>
    <w:unhideWhenUsed/>
    <w:rsid w:val="000D0824"/>
    <w:rPr>
      <w:szCs w:val="20"/>
    </w:rPr>
  </w:style>
  <w:style w:type="character" w:customStyle="1" w:styleId="TekstopmerkingChar">
    <w:name w:val="Tekst opmerking Char"/>
    <w:basedOn w:val="Standaardalinea-lettertype"/>
    <w:link w:val="Tekstopmerking"/>
    <w:uiPriority w:val="99"/>
    <w:rsid w:val="000D0824"/>
    <w:rPr>
      <w:rFonts w:ascii="Trebuchet MS" w:hAnsi="Trebuchet MS"/>
      <w:color w:val="000000" w:themeColor="text1"/>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0D0824"/>
    <w:rPr>
      <w:b/>
      <w:bCs/>
    </w:rPr>
  </w:style>
  <w:style w:type="character" w:customStyle="1" w:styleId="OnderwerpvanopmerkingChar">
    <w:name w:val="Onderwerp van opmerking Char"/>
    <w:basedOn w:val="TekstopmerkingChar"/>
    <w:link w:val="Onderwerpvanopmerking"/>
    <w:uiPriority w:val="99"/>
    <w:semiHidden/>
    <w:rsid w:val="000D0824"/>
    <w:rPr>
      <w:rFonts w:ascii="Trebuchet MS" w:hAnsi="Trebuchet MS"/>
      <w:b/>
      <w:bCs/>
      <w:color w:val="000000" w:themeColor="text1"/>
      <w:kern w:val="0"/>
      <w:sz w:val="20"/>
      <w:szCs w:val="20"/>
      <w14:ligatures w14:val="none"/>
    </w:rPr>
  </w:style>
  <w:style w:type="table" w:styleId="Tabelraster">
    <w:name w:val="Table Grid"/>
    <w:basedOn w:val="Standaardtabel"/>
    <w:uiPriority w:val="39"/>
    <w:rsid w:val="007C1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F50BD4"/>
    <w:rPr>
      <w:rFonts w:ascii="Trebuchet MS" w:hAnsi="Trebuchet MS"/>
      <w:color w:val="000000" w:themeColor="text1"/>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830767">
      <w:bodyDiv w:val="1"/>
      <w:marLeft w:val="0"/>
      <w:marRight w:val="0"/>
      <w:marTop w:val="0"/>
      <w:marBottom w:val="0"/>
      <w:divBdr>
        <w:top w:val="none" w:sz="0" w:space="0" w:color="auto"/>
        <w:left w:val="none" w:sz="0" w:space="0" w:color="auto"/>
        <w:bottom w:val="none" w:sz="0" w:space="0" w:color="auto"/>
        <w:right w:val="none" w:sz="0" w:space="0" w:color="auto"/>
      </w:divBdr>
      <w:divsChild>
        <w:div w:id="587929379">
          <w:marLeft w:val="432"/>
          <w:marRight w:val="432"/>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rvo.nl/onderwerpen/wetten-en-regels-gebouwen/epbd-iv" TargetMode="External"/><Relationship Id="rId2" Type="http://schemas.openxmlformats.org/officeDocument/2006/relationships/customXml" Target="../customXml/item2.xml"/><Relationship Id="rId16" Type="http://schemas.openxmlformats.org/officeDocument/2006/relationships/hyperlink" Target="https://eur-lex.europa.eu/legal-content/EN/TXT/?uri=CELEX:52020DC056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file:///C:/Users/pulle004/Downloads/coalitieakkoord-d66-vvd-cda%20(1).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E6F1F0-57D8-4088-9B82-E4555DC6A15A}">
  <ds:schemaRefs>
    <ds:schemaRef ds:uri="http://schemas.openxmlformats.org/officeDocument/2006/bibliography"/>
  </ds:schemaRefs>
</ds:datastoreItem>
</file>

<file path=customXml/itemProps2.xml><?xml version="1.0" encoding="utf-8"?>
<ds:datastoreItem xmlns:ds="http://schemas.openxmlformats.org/officeDocument/2006/customXml" ds:itemID="{2AAA078D-EA6F-446A-9491-05D557D2BD39}"/>
</file>

<file path=customXml/itemProps3.xml><?xml version="1.0" encoding="utf-8"?>
<ds:datastoreItem xmlns:ds="http://schemas.openxmlformats.org/officeDocument/2006/customXml" ds:itemID="{B4504011-04C5-426D-BC7E-E2D8687A5604}">
  <ds:schemaRefs>
    <ds:schemaRef ds:uri="http://schemas.microsoft.com/office/2006/metadata/properties"/>
    <ds:schemaRef ds:uri="http://schemas.microsoft.com/office/infopath/2007/PartnerControls"/>
    <ds:schemaRef ds:uri="9f19d825-75ea-45ec-8f3c-a6178d59dd98"/>
    <ds:schemaRef ds:uri="bbe396ae-051a-4da7-ace8-c4588d294252"/>
  </ds:schemaRefs>
</ds:datastoreItem>
</file>

<file path=customXml/itemProps4.xml><?xml version="1.0" encoding="utf-8"?>
<ds:datastoreItem xmlns:ds="http://schemas.openxmlformats.org/officeDocument/2006/customXml" ds:itemID="{C3BFD0E4-16D8-48D9-B30A-F8AC5F931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1625</Words>
  <Characters>8942</Characters>
  <Application>Microsoft Office Word</Application>
  <DocSecurity>2</DocSecurity>
  <Lines>74</Lines>
  <Paragraphs>21</Paragraphs>
  <ScaleCrop>false</ScaleCrop>
  <HeadingPairs>
    <vt:vector size="2" baseType="variant">
      <vt:variant>
        <vt:lpstr>Titel</vt:lpstr>
      </vt:variant>
      <vt:variant>
        <vt:i4>1</vt:i4>
      </vt:variant>
    </vt:vector>
  </HeadingPairs>
  <TitlesOfParts>
    <vt:vector size="1" baseType="lpstr">
      <vt:lpstr>Memo</vt:lpstr>
    </vt:vector>
  </TitlesOfParts>
  <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RegioAmersfoort@amersfoort.nl</dc:creator>
  <cp:keywords/>
  <dc:description/>
  <cp:lastModifiedBy>Sarah Ten Donkelaar</cp:lastModifiedBy>
  <cp:revision>12</cp:revision>
  <dcterms:created xsi:type="dcterms:W3CDTF">2026-08-25T04:18:00Z</dcterms:created>
  <dcterms:modified xsi:type="dcterms:W3CDTF">2026-08-25T04:28:00Z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y fmtid="{D5CDD505-2E9C-101B-9397-08002B2CF9AE}" pid="4" name="MSIP_Label_36385424-4abe-4cf8-8898-c76487689253_Enabled">
    <vt:lpwstr>true</vt:lpwstr>
  </property>
  <property fmtid="{D5CDD505-2E9C-101B-9397-08002B2CF9AE}" pid="5" name="MSIP_Label_36385424-4abe-4cf8-8898-c76487689253_SetDate">
    <vt:lpwstr>2026-06-23T13:06:02Z</vt:lpwstr>
  </property>
  <property fmtid="{D5CDD505-2E9C-101B-9397-08002B2CF9AE}" pid="6" name="MSIP_Label_36385424-4abe-4cf8-8898-c76487689253_Method">
    <vt:lpwstr>Standard</vt:lpwstr>
  </property>
  <property fmtid="{D5CDD505-2E9C-101B-9397-08002B2CF9AE}" pid="7" name="MSIP_Label_36385424-4abe-4cf8-8898-c76487689253_Name">
    <vt:lpwstr>Bedrijfsvertrouwelijk</vt:lpwstr>
  </property>
  <property fmtid="{D5CDD505-2E9C-101B-9397-08002B2CF9AE}" pid="8" name="MSIP_Label_36385424-4abe-4cf8-8898-c76487689253_SiteId">
    <vt:lpwstr>d9cef3d2-0eb3-4504-b431-80c617bfc930</vt:lpwstr>
  </property>
  <property fmtid="{D5CDD505-2E9C-101B-9397-08002B2CF9AE}" pid="9" name="MSIP_Label_36385424-4abe-4cf8-8898-c76487689253_ActionId">
    <vt:lpwstr>df2ecda2-8327-4e29-9729-1fe30dea87a2</vt:lpwstr>
  </property>
  <property fmtid="{D5CDD505-2E9C-101B-9397-08002B2CF9AE}" pid="10" name="MSIP_Label_36385424-4abe-4cf8-8898-c76487689253_ContentBits">
    <vt:lpwstr>0</vt:lpwstr>
  </property>
  <property fmtid="{D5CDD505-2E9C-101B-9397-08002B2CF9AE}" pid="11" name="MSIP_Label_36385424-4abe-4cf8-8898-c76487689253_Tag">
    <vt:lpwstr>10, 3, 0, 1</vt:lpwstr>
  </property>
</Properties>
</file>